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6FB9" w14:textId="17A7B125" w:rsidR="000D04FF" w:rsidRPr="00CE0996" w:rsidRDefault="000D04FF" w:rsidP="00CE0996">
      <w:pPr>
        <w:rPr>
          <w:rFonts w:ascii="Calibri Light" w:eastAsiaTheme="majorEastAsia" w:hAnsi="Calibri Light" w:cstheme="majorBidi"/>
          <w:b/>
          <w:bCs/>
          <w:color w:val="492249" w:themeColor="text2" w:themeShade="BF"/>
          <w:spacing w:val="5"/>
          <w:kern w:val="28"/>
          <w:sz w:val="44"/>
          <w:szCs w:val="44"/>
          <w:lang w:val="bs-Latn-BA"/>
        </w:rPr>
      </w:pPr>
      <w:bookmarkStart w:id="0" w:name="_Toc448235206"/>
      <w:r w:rsidRPr="00CE0996">
        <w:rPr>
          <w:rFonts w:ascii="Calibri Light" w:hAnsi="Calibri Light"/>
          <w:b/>
          <w:bCs/>
          <w:sz w:val="44"/>
          <w:szCs w:val="44"/>
          <w:lang w:val="bs-Latn-BA"/>
        </w:rPr>
        <w:t>Procedura glasanja</w:t>
      </w:r>
      <w:bookmarkEnd w:id="0"/>
    </w:p>
    <w:p w14:paraId="4B99056E" w14:textId="77777777" w:rsidR="00F52FE1" w:rsidRDefault="00F52FE1" w:rsidP="2D76CBAE">
      <w:pPr>
        <w:pStyle w:val="Heading2"/>
        <w:jc w:val="both"/>
        <w:rPr>
          <w:rFonts w:ascii="Calibri Light" w:hAnsi="Calibri Light"/>
          <w:lang w:val="bs-Latn-BA"/>
        </w:rPr>
      </w:pPr>
      <w:bookmarkStart w:id="1" w:name="_Toc448235207"/>
    </w:p>
    <w:p w14:paraId="11DFCCF1" w14:textId="77777777" w:rsidR="004F05CD" w:rsidRPr="00A26ED2" w:rsidRDefault="00DB1B77" w:rsidP="2D76CBAE">
      <w:pPr>
        <w:pStyle w:val="Heading2"/>
        <w:jc w:val="both"/>
        <w:rPr>
          <w:rFonts w:ascii="Calibri Light" w:hAnsi="Calibri Light"/>
          <w:lang w:val="bs-Latn-BA"/>
        </w:rPr>
      </w:pPr>
      <w:r w:rsidRPr="2D76CBAE">
        <w:rPr>
          <w:rFonts w:ascii="Calibri Light" w:hAnsi="Calibri Light"/>
          <w:lang w:val="bs-Latn-BA"/>
        </w:rPr>
        <w:t>1. Glasanje na biračkom mjestu</w:t>
      </w:r>
      <w:bookmarkEnd w:id="1"/>
    </w:p>
    <w:p w14:paraId="1299C43A" w14:textId="77777777" w:rsidR="007E664D" w:rsidRPr="00A26ED2" w:rsidRDefault="007E664D" w:rsidP="2D76CBAE">
      <w:pPr>
        <w:jc w:val="both"/>
        <w:rPr>
          <w:rFonts w:ascii="Calibri Light" w:hAnsi="Calibri Light"/>
          <w:lang w:val="bs-Latn-BA"/>
        </w:rPr>
      </w:pPr>
    </w:p>
    <w:p w14:paraId="00B0F180" w14:textId="77777777" w:rsidR="00DB1B77" w:rsidRPr="00A26ED2" w:rsidRDefault="00DB1B77" w:rsidP="2D76CBAE">
      <w:pPr>
        <w:jc w:val="both"/>
        <w:rPr>
          <w:rFonts w:ascii="Calibri Light" w:hAnsi="Calibri Light"/>
          <w:b/>
          <w:bCs/>
          <w:lang w:val="bs-Latn-BA"/>
        </w:rPr>
      </w:pPr>
      <w:r w:rsidRPr="2D76CBAE">
        <w:rPr>
          <w:rFonts w:ascii="Calibri Light" w:hAnsi="Calibri Light"/>
          <w:b/>
          <w:bCs/>
          <w:lang w:val="bs-Latn-BA"/>
        </w:rPr>
        <w:t xml:space="preserve">Birač u toku održavanja izbora može glasati samo </w:t>
      </w:r>
      <w:r w:rsidR="006122C1" w:rsidRPr="2D76CBAE">
        <w:rPr>
          <w:rFonts w:ascii="Calibri Light" w:hAnsi="Calibri Light"/>
          <w:b/>
          <w:bCs/>
          <w:lang w:val="bs-Latn-BA"/>
        </w:rPr>
        <w:t>jednom</w:t>
      </w:r>
      <w:r w:rsidR="0090015D" w:rsidRPr="2D76CBAE">
        <w:rPr>
          <w:rFonts w:ascii="Calibri Light" w:hAnsi="Calibri Light"/>
          <w:b/>
          <w:bCs/>
          <w:lang w:val="bs-Latn-BA"/>
        </w:rPr>
        <w:t>.</w:t>
      </w:r>
    </w:p>
    <w:p w14:paraId="7A6D0557" w14:textId="77777777" w:rsidR="00034DEB" w:rsidRPr="00A26ED2" w:rsidRDefault="00017D7B" w:rsidP="2D76CBAE">
      <w:pPr>
        <w:pStyle w:val="ListParagraph"/>
        <w:numPr>
          <w:ilvl w:val="0"/>
          <w:numId w:val="16"/>
        </w:numPr>
        <w:jc w:val="both"/>
        <w:rPr>
          <w:rFonts w:ascii="Calibri Light" w:hAnsi="Calibri Light"/>
          <w:b/>
          <w:bCs/>
          <w:lang w:val="bs-Latn-BA"/>
        </w:rPr>
      </w:pPr>
      <w:r w:rsidRPr="2D76CBAE">
        <w:rPr>
          <w:rFonts w:ascii="Calibri Light" w:hAnsi="Calibri Light"/>
          <w:b/>
          <w:bCs/>
          <w:lang w:val="bs-Latn-BA"/>
        </w:rPr>
        <w:t>Elektronska i</w:t>
      </w:r>
      <w:r w:rsidR="00034DEB" w:rsidRPr="2D76CBAE">
        <w:rPr>
          <w:rFonts w:ascii="Calibri Light" w:hAnsi="Calibri Light"/>
          <w:b/>
          <w:bCs/>
          <w:lang w:val="bs-Latn-BA"/>
        </w:rPr>
        <w:t>dentifikacija birača</w:t>
      </w:r>
    </w:p>
    <w:p w14:paraId="1CF80D0D" w14:textId="77777777" w:rsidR="00B751A2" w:rsidRPr="00A26ED2" w:rsidRDefault="00B751A2" w:rsidP="2D76CBAE">
      <w:pPr>
        <w:jc w:val="both"/>
        <w:rPr>
          <w:rFonts w:ascii="Calibri Light" w:hAnsi="Calibri Light"/>
          <w:b/>
          <w:bCs/>
          <w:lang w:val="bs-Latn-BA"/>
        </w:rPr>
      </w:pPr>
      <w:r w:rsidRPr="2D76CBAE">
        <w:rPr>
          <w:rFonts w:ascii="Calibri Light" w:hAnsi="Calibri Light"/>
          <w:b/>
          <w:bCs/>
          <w:lang w:val="bs-Latn-BA"/>
        </w:rPr>
        <w:t>Birač saopštava svoje ime i prezime biračkom odboru.</w:t>
      </w:r>
    </w:p>
    <w:p w14:paraId="22FBD9CE" w14:textId="77777777" w:rsidR="00B751A2" w:rsidRPr="00A26ED2" w:rsidRDefault="00B751A2" w:rsidP="2D76CBAE">
      <w:pPr>
        <w:jc w:val="both"/>
        <w:rPr>
          <w:rFonts w:ascii="Calibri Light" w:hAnsi="Calibri Light"/>
          <w:b/>
          <w:bCs/>
          <w:lang w:val="bs-Latn-BA"/>
        </w:rPr>
      </w:pPr>
      <w:r w:rsidRPr="2D76CBAE">
        <w:rPr>
          <w:rFonts w:ascii="Calibri Light" w:hAnsi="Calibri Light"/>
          <w:b/>
          <w:bCs/>
          <w:lang w:val="bs-Latn-BA"/>
        </w:rPr>
        <w:t xml:space="preserve">Predaje ličnu kartu ili pasoš. </w:t>
      </w:r>
      <w:r w:rsidRPr="2D76CBAE">
        <w:rPr>
          <w:rFonts w:ascii="Calibri Light" w:hAnsi="Calibri Light"/>
          <w:lang w:val="bs-Latn-BA"/>
        </w:rPr>
        <w:t>Na zahtjev članova biračkog odbora predsjednik biračkog odbora je dužan da ispravu kojom birač dokazuje identitet pokaže svim članovima biračkog odbora.</w:t>
      </w:r>
    </w:p>
    <w:p w14:paraId="7C3E1BEF" w14:textId="77777777" w:rsidR="00017D7B" w:rsidRPr="00A26ED2" w:rsidRDefault="00B751A2" w:rsidP="2D76CBAE">
      <w:pPr>
        <w:jc w:val="both"/>
        <w:rPr>
          <w:rFonts w:ascii="Calibri Light" w:hAnsi="Calibri Light"/>
          <w:b/>
          <w:bCs/>
          <w:lang w:val="bs-Latn-BA"/>
        </w:rPr>
      </w:pPr>
      <w:r w:rsidRPr="2D76CBAE">
        <w:rPr>
          <w:rFonts w:ascii="Calibri Light" w:hAnsi="Calibri Light"/>
          <w:b/>
          <w:bCs/>
          <w:lang w:val="bs-Latn-BA"/>
        </w:rPr>
        <w:t>Predsjednik biračkog odbora provlači ličnu kartu</w:t>
      </w:r>
      <w:r w:rsidR="00241F92" w:rsidRPr="2D76CBAE">
        <w:rPr>
          <w:rFonts w:ascii="Calibri Light" w:hAnsi="Calibri Light"/>
          <w:b/>
          <w:bCs/>
          <w:lang w:val="bs-Latn-BA"/>
        </w:rPr>
        <w:t xml:space="preserve"> ili pasoš birača</w:t>
      </w:r>
      <w:r w:rsidRPr="2D76CBAE">
        <w:rPr>
          <w:rFonts w:ascii="Calibri Light" w:hAnsi="Calibri Light"/>
          <w:b/>
          <w:bCs/>
          <w:lang w:val="bs-Latn-BA"/>
        </w:rPr>
        <w:t xml:space="preserve"> kroz EIB uređaj. </w:t>
      </w:r>
      <w:r w:rsidR="00017D7B" w:rsidRPr="2D76CBAE">
        <w:rPr>
          <w:rFonts w:ascii="Calibri Light" w:hAnsi="Calibri Light"/>
          <w:b/>
          <w:bCs/>
          <w:lang w:val="bs-Latn-BA"/>
        </w:rPr>
        <w:t xml:space="preserve"> </w:t>
      </w:r>
      <w:r w:rsidR="00017D7B" w:rsidRPr="2D76CBAE">
        <w:rPr>
          <w:rFonts w:ascii="Calibri Light" w:hAnsi="Calibri Light"/>
          <w:lang w:val="bs-Latn-BA"/>
        </w:rPr>
        <w:t>Ukoliko je birač upisan na tom biračkom mjestu na lijevoj strani ekrana će se prikazati fotografija birača, a desno od nje prezime i ime, JMBG i adresa birača.</w:t>
      </w:r>
      <w:r w:rsidR="00017D7B" w:rsidRPr="2D76CBAE">
        <w:rPr>
          <w:rFonts w:ascii="Calibri Light" w:hAnsi="Calibri Light"/>
          <w:b/>
          <w:bCs/>
          <w:lang w:val="bs-Latn-BA"/>
        </w:rPr>
        <w:t xml:space="preserve"> </w:t>
      </w:r>
    </w:p>
    <w:p w14:paraId="463398DA" w14:textId="77777777" w:rsidR="00017D7B" w:rsidRPr="00A26ED2" w:rsidRDefault="00017D7B" w:rsidP="2D76CBAE">
      <w:pPr>
        <w:jc w:val="both"/>
        <w:rPr>
          <w:rFonts w:ascii="Calibri Light" w:hAnsi="Calibri Light"/>
          <w:b/>
          <w:bCs/>
          <w:lang w:val="bs-Latn-BA"/>
        </w:rPr>
      </w:pPr>
      <w:r w:rsidRPr="2D76CBAE">
        <w:rPr>
          <w:rFonts w:ascii="Calibri Light" w:hAnsi="Calibri Light"/>
          <w:lang w:val="bs-Latn-BA"/>
        </w:rPr>
        <w:t xml:space="preserve">Istovremeno sa elektronskom identifikacijom, </w:t>
      </w:r>
      <w:r w:rsidRPr="2D76CBAE">
        <w:rPr>
          <w:rFonts w:ascii="Calibri Light" w:hAnsi="Calibri Light"/>
          <w:b/>
          <w:bCs/>
          <w:lang w:val="bs-Latn-BA"/>
        </w:rPr>
        <w:t xml:space="preserve">EIB uređaj štampa papirni odrezak-potvrdu </w:t>
      </w:r>
      <w:r w:rsidRPr="2D76CBAE">
        <w:rPr>
          <w:rFonts w:ascii="Calibri Light" w:hAnsi="Calibri Light"/>
          <w:lang w:val="bs-Latn-BA"/>
        </w:rPr>
        <w:t>koja sadrži ime i prezime, JMBG i redni broj birača koji je istovjetan onome u odštampanom biračkom spisku</w:t>
      </w:r>
      <w:r w:rsidRPr="2D76CBAE">
        <w:rPr>
          <w:rFonts w:ascii="Calibri Light" w:hAnsi="Calibri Light"/>
          <w:b/>
          <w:bCs/>
          <w:lang w:val="bs-Latn-BA"/>
        </w:rPr>
        <w:t>.</w:t>
      </w:r>
    </w:p>
    <w:p w14:paraId="4DDBEF00" w14:textId="77777777" w:rsidR="00760CFC" w:rsidRPr="00A26ED2" w:rsidRDefault="00760CFC" w:rsidP="2D76CBAE">
      <w:pPr>
        <w:jc w:val="both"/>
        <w:rPr>
          <w:rFonts w:ascii="Calibri Light" w:hAnsi="Calibri Light"/>
          <w:b/>
          <w:bCs/>
          <w:lang w:val="bs-Latn-BA"/>
        </w:rPr>
      </w:pPr>
    </w:p>
    <w:p w14:paraId="53A5ABFC" w14:textId="77777777" w:rsidR="00771EFE" w:rsidRPr="00A26ED2" w:rsidRDefault="00771EFE" w:rsidP="2D76CBAE">
      <w:pPr>
        <w:pStyle w:val="ListParagraph"/>
        <w:numPr>
          <w:ilvl w:val="0"/>
          <w:numId w:val="16"/>
        </w:numPr>
        <w:jc w:val="both"/>
        <w:rPr>
          <w:rFonts w:ascii="Calibri Light" w:hAnsi="Calibri Light"/>
          <w:b/>
          <w:bCs/>
          <w:lang w:val="bs-Latn-BA"/>
        </w:rPr>
      </w:pPr>
      <w:r w:rsidRPr="2D76CBAE">
        <w:rPr>
          <w:rFonts w:ascii="Calibri Light" w:hAnsi="Calibri Light"/>
          <w:b/>
          <w:bCs/>
          <w:lang w:val="bs-Latn-BA"/>
        </w:rPr>
        <w:t>Štampani izvod iz biračkog spiska</w:t>
      </w:r>
    </w:p>
    <w:p w14:paraId="41DB6AC8" w14:textId="77777777" w:rsidR="00241F92" w:rsidRPr="00A26ED2" w:rsidRDefault="00017D7B" w:rsidP="2D76CBAE">
      <w:pPr>
        <w:jc w:val="both"/>
        <w:rPr>
          <w:rFonts w:ascii="Calibri Light" w:hAnsi="Calibri Light"/>
          <w:b/>
          <w:bCs/>
          <w:lang w:val="bs-Latn-BA"/>
        </w:rPr>
      </w:pPr>
      <w:r w:rsidRPr="2D76CBAE">
        <w:rPr>
          <w:rFonts w:ascii="Calibri Light" w:hAnsi="Calibri Light"/>
          <w:b/>
          <w:bCs/>
          <w:lang w:val="bs-Latn-BA"/>
        </w:rPr>
        <w:t>U odštampanom izvodu iz biračkog spiska predsjednik biračkog odbora zaokružuje redni broj identifikovanog birača nakon čega se birač potpis</w:t>
      </w:r>
      <w:r w:rsidR="00F52FE1" w:rsidRPr="2D76CBAE">
        <w:rPr>
          <w:rFonts w:ascii="Calibri Light" w:hAnsi="Calibri Light"/>
          <w:b/>
          <w:bCs/>
          <w:lang w:val="bs-Latn-BA"/>
        </w:rPr>
        <w:t>uje na za to predviđenom mjestu. Nakon ovoga,</w:t>
      </w:r>
      <w:r w:rsidRPr="2D76CBAE">
        <w:rPr>
          <w:rFonts w:ascii="Calibri Light" w:hAnsi="Calibri Light"/>
          <w:b/>
          <w:bCs/>
          <w:lang w:val="bs-Latn-BA"/>
        </w:rPr>
        <w:t xml:space="preserve"> birački odbor omogućava biraču da glasa.</w:t>
      </w:r>
    </w:p>
    <w:p w14:paraId="41A3258C" w14:textId="77777777" w:rsidR="00241F92" w:rsidRPr="00A26ED2" w:rsidRDefault="00241F92" w:rsidP="2D76CBAE">
      <w:pPr>
        <w:jc w:val="both"/>
        <w:rPr>
          <w:rFonts w:ascii="Calibri Light" w:hAnsi="Calibri Light"/>
          <w:b/>
          <w:bCs/>
          <w:lang w:val="bs-Latn-BA"/>
        </w:rPr>
      </w:pPr>
      <w:r w:rsidRPr="2D76CBAE">
        <w:rPr>
          <w:rFonts w:ascii="Calibri Light" w:hAnsi="Calibri Light"/>
          <w:lang w:val="bs-Latn-BA"/>
        </w:rPr>
        <w:t>Nakon uspješne elektronske identifikacije, birač se pronalazi i u štampanom izvodu iz biračkog spiska.</w:t>
      </w:r>
      <w:r w:rsidRPr="2D76CBAE">
        <w:rPr>
          <w:rFonts w:ascii="Calibri Light" w:hAnsi="Calibri Light"/>
          <w:b/>
          <w:bCs/>
          <w:lang w:val="bs-Latn-BA"/>
        </w:rPr>
        <w:t xml:space="preserve"> </w:t>
      </w:r>
      <w:r w:rsidR="00017D7B" w:rsidRPr="2D76CBAE">
        <w:rPr>
          <w:rFonts w:ascii="Calibri Light" w:hAnsi="Calibri Light"/>
          <w:b/>
          <w:bCs/>
          <w:lang w:val="bs-Latn-BA"/>
        </w:rPr>
        <w:t>Predsjednik biračkog odbora zaokružuje r</w:t>
      </w:r>
      <w:r w:rsidR="00B751A2" w:rsidRPr="2D76CBAE">
        <w:rPr>
          <w:rFonts w:ascii="Calibri Light" w:hAnsi="Calibri Light"/>
          <w:b/>
          <w:bCs/>
          <w:lang w:val="bs-Latn-BA"/>
        </w:rPr>
        <w:t>edni broj glasača na štam</w:t>
      </w:r>
      <w:r w:rsidRPr="2D76CBAE">
        <w:rPr>
          <w:rFonts w:ascii="Calibri Light" w:hAnsi="Calibri Light"/>
          <w:b/>
          <w:bCs/>
          <w:lang w:val="bs-Latn-BA"/>
        </w:rPr>
        <w:t>panom izvodu iz biračkog spiska.</w:t>
      </w:r>
    </w:p>
    <w:p w14:paraId="6C17E296" w14:textId="77777777" w:rsidR="00241F92" w:rsidRPr="00A26ED2" w:rsidRDefault="00B751A2" w:rsidP="2D76CBAE">
      <w:pPr>
        <w:jc w:val="both"/>
        <w:rPr>
          <w:rFonts w:ascii="Calibri Light" w:hAnsi="Calibri Light"/>
          <w:b/>
          <w:bCs/>
          <w:lang w:val="bs-Latn-BA"/>
        </w:rPr>
      </w:pPr>
      <w:r w:rsidRPr="2D76CBAE">
        <w:rPr>
          <w:rFonts w:ascii="Calibri Light" w:hAnsi="Calibri Light"/>
          <w:b/>
          <w:bCs/>
          <w:lang w:val="bs-Latn-BA"/>
        </w:rPr>
        <w:t>Birač se potpisuje u štam</w:t>
      </w:r>
      <w:r w:rsidR="00241F92" w:rsidRPr="2D76CBAE">
        <w:rPr>
          <w:rFonts w:ascii="Calibri Light" w:hAnsi="Calibri Light"/>
          <w:b/>
          <w:bCs/>
          <w:lang w:val="bs-Latn-BA"/>
        </w:rPr>
        <w:t xml:space="preserve">panom izvodu iz biračkog spiska. </w:t>
      </w:r>
    </w:p>
    <w:p w14:paraId="3B9B80BF" w14:textId="77777777" w:rsidR="00B751A2" w:rsidRPr="00A26ED2" w:rsidRDefault="00B751A2" w:rsidP="2D76CBAE">
      <w:pPr>
        <w:jc w:val="both"/>
        <w:rPr>
          <w:rFonts w:ascii="Calibri Light" w:hAnsi="Calibri Light"/>
          <w:b/>
          <w:bCs/>
          <w:lang w:val="bs-Latn-BA"/>
        </w:rPr>
      </w:pPr>
      <w:r w:rsidRPr="2D76CBAE">
        <w:rPr>
          <w:rFonts w:ascii="Calibri Light" w:hAnsi="Calibri Light"/>
          <w:b/>
          <w:bCs/>
          <w:lang w:val="bs-Latn-BA"/>
        </w:rPr>
        <w:t>Predsjednik biračkog odbora i član biračkog odbora iz suprotne političke opcije potpisuju se na poleđini papirnog odreska i predaju ga članu zaduženom za čuvanje kontrolnih kupona</w:t>
      </w:r>
      <w:r w:rsidR="00017D7B" w:rsidRPr="2D76CBAE">
        <w:rPr>
          <w:rFonts w:ascii="Calibri Light" w:hAnsi="Calibri Light"/>
          <w:b/>
          <w:bCs/>
          <w:lang w:val="bs-Latn-BA"/>
        </w:rPr>
        <w:t>.</w:t>
      </w:r>
    </w:p>
    <w:p w14:paraId="7A66BCF9" w14:textId="77777777" w:rsidR="0026321F" w:rsidRPr="00A26ED2" w:rsidRDefault="0026321F" w:rsidP="2D76CBAE">
      <w:pPr>
        <w:jc w:val="both"/>
        <w:rPr>
          <w:rFonts w:ascii="Calibri Light" w:hAnsi="Calibri Light"/>
          <w:lang w:val="bs-Latn-BA"/>
        </w:rPr>
      </w:pPr>
      <w:r w:rsidRPr="2D76CBAE">
        <w:rPr>
          <w:rFonts w:ascii="Calibri Light" w:hAnsi="Calibri Light"/>
          <w:lang w:val="bs-Latn-BA"/>
        </w:rPr>
        <w:t>Predsjedniku i ostalim članovima biračkog odbora zabranjuje se da, u bilo kojoj formi, a posebno glasnim obraćanjem saopšte ime i prezime birača, kao i njegov redni broj u izvodu iz biračkog spiska.</w:t>
      </w:r>
    </w:p>
    <w:p w14:paraId="02A63B12" w14:textId="201912CC" w:rsidR="00017D7B" w:rsidRPr="00A26ED2" w:rsidRDefault="00017D7B" w:rsidP="2D76CBAE">
      <w:pPr>
        <w:jc w:val="both"/>
        <w:rPr>
          <w:rFonts w:ascii="Calibri Light" w:hAnsi="Calibri Light"/>
          <w:lang w:val="bs-Latn-BA"/>
        </w:rPr>
      </w:pPr>
      <w:r w:rsidRPr="2D76CBAE">
        <w:rPr>
          <w:rFonts w:ascii="Calibri Light" w:hAnsi="Calibri Light"/>
          <w:lang w:val="bs-Latn-BA"/>
        </w:rPr>
        <w:t xml:space="preserve">Članovima biračkog odbora i licima koja prate rad organa za sprovođenje izbora za vrijeme glasanja zabranjeno je na biračkom mjestu vođenje bilo kakve evidencije o biračima koji su glasali, kao i korišćenje kopije biračkog spiska ili bilo koje druge pomoćne evidencije o biračima. </w:t>
      </w:r>
    </w:p>
    <w:p w14:paraId="376C5079" w14:textId="7CF2CED5" w:rsidR="003438B8" w:rsidRPr="00A26ED2" w:rsidRDefault="00017D7B" w:rsidP="2D76CBAE">
      <w:pPr>
        <w:jc w:val="both"/>
        <w:rPr>
          <w:rFonts w:ascii="Calibri Light" w:hAnsi="Calibri Light"/>
          <w:b/>
          <w:bCs/>
          <w:lang w:val="bs-Latn-BA"/>
        </w:rPr>
      </w:pPr>
      <w:r w:rsidRPr="2D76CBAE">
        <w:rPr>
          <w:rFonts w:ascii="Calibri Light" w:hAnsi="Calibri Light"/>
          <w:lang w:val="bs-Latn-BA"/>
        </w:rPr>
        <w:t xml:space="preserve">Kao ovlašćeni posmatrač CDT-a ima Vi imate pravo vođenja evidencije na biračkom mjestu, o broju izašlih birača i o kvalitetu izborne procedure, izuzev one koja se tiče identiteta birača. </w:t>
      </w:r>
    </w:p>
    <w:p w14:paraId="3A145393" w14:textId="77777777" w:rsidR="00F67894" w:rsidRPr="00A26ED2" w:rsidRDefault="00F67894" w:rsidP="2D76CBAE">
      <w:pPr>
        <w:pStyle w:val="ListParagraph"/>
        <w:numPr>
          <w:ilvl w:val="0"/>
          <w:numId w:val="16"/>
        </w:numPr>
        <w:jc w:val="both"/>
        <w:rPr>
          <w:rFonts w:ascii="Calibri Light" w:hAnsi="Calibri Light"/>
          <w:b/>
          <w:bCs/>
          <w:lang w:val="bs-Latn-BA"/>
        </w:rPr>
      </w:pPr>
      <w:r w:rsidRPr="2D76CBAE">
        <w:rPr>
          <w:rFonts w:ascii="Calibri Light" w:hAnsi="Calibri Light"/>
          <w:b/>
          <w:bCs/>
          <w:lang w:val="bs-Latn-BA"/>
        </w:rPr>
        <w:t>Izdavanje glasačkog listića</w:t>
      </w:r>
    </w:p>
    <w:p w14:paraId="5650AAB6" w14:textId="77777777" w:rsidR="00017D7B" w:rsidRPr="00A26ED2" w:rsidRDefault="00017D7B" w:rsidP="2D76CBAE">
      <w:pPr>
        <w:jc w:val="both"/>
        <w:rPr>
          <w:rFonts w:ascii="Calibri Light" w:hAnsi="Calibri Light"/>
          <w:lang w:val="bs-Latn-BA"/>
        </w:rPr>
      </w:pPr>
      <w:r w:rsidRPr="2D76CBAE">
        <w:rPr>
          <w:rFonts w:ascii="Calibri Light" w:hAnsi="Calibri Light"/>
          <w:lang w:val="bs-Latn-BA"/>
        </w:rPr>
        <w:t>Nakon uspješne identifikacije birač će se uputiti do člana biračkog odbora koji izdaje glasački listić.</w:t>
      </w:r>
    </w:p>
    <w:p w14:paraId="5958CC55" w14:textId="77777777" w:rsidR="00017D7B" w:rsidRPr="00A26ED2" w:rsidRDefault="00F67894" w:rsidP="2D76CBAE">
      <w:pPr>
        <w:jc w:val="both"/>
        <w:rPr>
          <w:rFonts w:ascii="Calibri Light" w:hAnsi="Calibri Light"/>
          <w:lang w:val="bs-Latn-BA"/>
        </w:rPr>
      </w:pPr>
      <w:r w:rsidRPr="2D76CBAE">
        <w:rPr>
          <w:rFonts w:ascii="Calibri Light" w:hAnsi="Calibri Light"/>
          <w:lang w:val="bs-Latn-BA"/>
        </w:rPr>
        <w:t>Član biračkog</w:t>
      </w:r>
      <w:r w:rsidR="00F52FE1" w:rsidRPr="2D76CBAE">
        <w:rPr>
          <w:rFonts w:ascii="Calibri Light" w:hAnsi="Calibri Light"/>
          <w:lang w:val="bs-Latn-BA"/>
        </w:rPr>
        <w:t xml:space="preserve"> odbora koji izdaje glasački lis</w:t>
      </w:r>
      <w:r w:rsidRPr="2D76CBAE">
        <w:rPr>
          <w:rFonts w:ascii="Calibri Light" w:hAnsi="Calibri Light"/>
          <w:lang w:val="bs-Latn-BA"/>
        </w:rPr>
        <w:t xml:space="preserve">tić sjedi do predsjednika biračkog odbora. Ovaj član biračkog odbora pečatira glasački listić i dodaje ga predsjedniku biračkog odbora, čime se obezbjeđuje da se biraču preda samo jedan glasački listić. </w:t>
      </w:r>
    </w:p>
    <w:p w14:paraId="4465D037" w14:textId="77777777" w:rsidR="00F67894" w:rsidRPr="00A26ED2" w:rsidRDefault="00F67894" w:rsidP="2D76CBAE">
      <w:pPr>
        <w:jc w:val="both"/>
        <w:rPr>
          <w:rFonts w:ascii="Calibri Light" w:hAnsi="Calibri Light"/>
          <w:lang w:val="bs-Latn-BA"/>
        </w:rPr>
      </w:pPr>
      <w:r w:rsidRPr="2D76CBAE">
        <w:rPr>
          <w:rFonts w:ascii="Calibri Light" w:hAnsi="Calibri Light"/>
          <w:lang w:val="bs-Latn-BA"/>
        </w:rPr>
        <w:lastRenderedPageBreak/>
        <w:t>Predsjednik biračkog odbora objašnjava biraču način glasanja, nakon čega birača upućuje iza paravana ili u kabinu.</w:t>
      </w:r>
    </w:p>
    <w:p w14:paraId="752135C3" w14:textId="77777777" w:rsidR="003B2309" w:rsidRPr="00A26ED2" w:rsidRDefault="003B2309" w:rsidP="2D76CBAE">
      <w:pPr>
        <w:jc w:val="both"/>
        <w:rPr>
          <w:rFonts w:ascii="Calibri Light" w:hAnsi="Calibri Light"/>
          <w:b/>
          <w:bCs/>
          <w:lang w:val="bs-Latn-BA"/>
        </w:rPr>
      </w:pPr>
      <w:r w:rsidRPr="2D76CBAE">
        <w:rPr>
          <w:rFonts w:ascii="Calibri Light" w:hAnsi="Calibri Light"/>
          <w:b/>
          <w:bCs/>
          <w:lang w:val="bs-Latn-BA"/>
        </w:rPr>
        <w:t>Članovi biračkog odbora ne smiju ni na koji način uticati na odluku birača.</w:t>
      </w:r>
      <w:r w:rsidR="003C43A7" w:rsidRPr="2D76CBAE">
        <w:rPr>
          <w:rFonts w:ascii="Calibri Light" w:hAnsi="Calibri Light"/>
          <w:b/>
          <w:bCs/>
          <w:lang w:val="bs-Latn-BA"/>
        </w:rPr>
        <w:t xml:space="preserve"> </w:t>
      </w:r>
      <w:r w:rsidRPr="2D76CBAE">
        <w:rPr>
          <w:rFonts w:ascii="Calibri Light" w:hAnsi="Calibri Light"/>
          <w:b/>
          <w:bCs/>
          <w:lang w:val="bs-Latn-BA"/>
        </w:rPr>
        <w:t>Članovi biračkog odbora dužni su da biraču, na njegov zahtjev, ponovo objasne način glasanja.</w:t>
      </w:r>
    </w:p>
    <w:p w14:paraId="76F1BF3C" w14:textId="77777777" w:rsidR="00EC3ACE" w:rsidRPr="00A26ED2" w:rsidRDefault="00EC3ACE" w:rsidP="2D76CBAE">
      <w:pPr>
        <w:pStyle w:val="ListParagraph"/>
        <w:numPr>
          <w:ilvl w:val="0"/>
          <w:numId w:val="16"/>
        </w:numPr>
        <w:jc w:val="both"/>
        <w:rPr>
          <w:rFonts w:ascii="Calibri Light" w:hAnsi="Calibri Light"/>
          <w:b/>
          <w:bCs/>
          <w:lang w:val="bs-Latn-BA"/>
        </w:rPr>
      </w:pPr>
      <w:r w:rsidRPr="2D76CBAE">
        <w:rPr>
          <w:rFonts w:ascii="Calibri Light" w:hAnsi="Calibri Light"/>
          <w:b/>
          <w:bCs/>
          <w:lang w:val="bs-Latn-BA"/>
        </w:rPr>
        <w:t>Glasanje</w:t>
      </w:r>
    </w:p>
    <w:p w14:paraId="5D99090D" w14:textId="77777777" w:rsidR="00EC3ACE" w:rsidRPr="00A26ED2" w:rsidRDefault="00EC3ACE" w:rsidP="2D76CBAE">
      <w:pPr>
        <w:jc w:val="both"/>
        <w:rPr>
          <w:rFonts w:ascii="Calibri Light" w:hAnsi="Calibri Light"/>
          <w:lang w:val="bs-Latn-BA"/>
        </w:rPr>
      </w:pPr>
      <w:r w:rsidRPr="2D76CBAE">
        <w:rPr>
          <w:rFonts w:ascii="Calibri Light" w:hAnsi="Calibri Light"/>
          <w:lang w:val="bs-Latn-BA"/>
        </w:rPr>
        <w:t>Birač glasa tako što zaokružuje redni broj ispred naziva izborne liste za koju se glasa.</w:t>
      </w:r>
    </w:p>
    <w:p w14:paraId="4412418C" w14:textId="77777777" w:rsidR="007E664D" w:rsidRPr="00A26ED2" w:rsidRDefault="007E664D" w:rsidP="2D76CBAE">
      <w:pPr>
        <w:jc w:val="both"/>
        <w:rPr>
          <w:rFonts w:ascii="Calibri Light" w:hAnsi="Calibri Light"/>
          <w:lang w:val="bs-Latn-BA"/>
        </w:rPr>
      </w:pPr>
      <w:r w:rsidRPr="2D76CBAE">
        <w:rPr>
          <w:rFonts w:ascii="Calibri Light" w:hAnsi="Calibri Light"/>
          <w:b/>
          <w:bCs/>
          <w:lang w:val="bs-Latn-BA"/>
        </w:rPr>
        <w:t xml:space="preserve">Glasanje je tajno. </w:t>
      </w:r>
      <w:r w:rsidRPr="2D76CBAE">
        <w:rPr>
          <w:rFonts w:ascii="Calibri Light" w:hAnsi="Calibri Light"/>
          <w:lang w:val="bs-Latn-BA"/>
        </w:rPr>
        <w:t>Birač popunjava glasački listić isključivo u prostoru koji je za to namijenjen (paravan, kabina), tako da niko ne može vidjeti kako je glasao. Ukoliko birač povrijedi tajnost glasanja na način što glasa javno izvan prostora odrđenog za glasanje, ili ako nakon glasanja biračkom odboru pokaže glasački listić tako da se vidi za koga je glasao, predsjednik biračkog odbora, na osnovu prethodne odluke biračkog odbora, dužan je da u prisustvu biračkog odbora, nakon odvajanja kontrolnog kupona, takav listić učini nevažećim na način što će ga precrtati, spakovati u poseban koverat  ubaciti u glasačku kutiju umjesto birača.</w:t>
      </w:r>
    </w:p>
    <w:p w14:paraId="3A4496AA" w14:textId="77777777" w:rsidR="007E664D" w:rsidRPr="00A26ED2" w:rsidRDefault="007E664D" w:rsidP="2D76CBAE">
      <w:pPr>
        <w:jc w:val="both"/>
        <w:rPr>
          <w:rFonts w:ascii="Calibri Light" w:hAnsi="Calibri Light"/>
          <w:lang w:val="bs-Latn-BA"/>
        </w:rPr>
      </w:pPr>
      <w:r w:rsidRPr="2D76CBAE">
        <w:rPr>
          <w:rFonts w:ascii="Calibri Light" w:hAnsi="Calibri Light"/>
          <w:lang w:val="bs-Latn-BA"/>
        </w:rPr>
        <w:t xml:space="preserve">Nakon glasanja birač presavija popunjeni glasački listić tako da se ne vidi kako je glasao, a da pri tome ostane slobodan kontrolni kupon. Zatim, birač sa glasačkim listićem prilazi članu biračkog odbora koji uklanja kupon sa listića, ubacuje glasački listić u glasačku kutiju i napušta </w:t>
      </w:r>
      <w:r w:rsidR="00854C3B" w:rsidRPr="2D76CBAE">
        <w:rPr>
          <w:rFonts w:ascii="Calibri Light" w:hAnsi="Calibri Light"/>
          <w:lang w:val="bs-Latn-BA"/>
        </w:rPr>
        <w:t>biračko mjesto.</w:t>
      </w:r>
    </w:p>
    <w:p w14:paraId="7106459A" w14:textId="77777777" w:rsidR="003F4B9D" w:rsidRPr="00A26ED2" w:rsidRDefault="003F4B9D" w:rsidP="2D76CBAE">
      <w:pPr>
        <w:pStyle w:val="ListParagraph"/>
        <w:numPr>
          <w:ilvl w:val="0"/>
          <w:numId w:val="16"/>
        </w:numPr>
        <w:jc w:val="both"/>
        <w:rPr>
          <w:rFonts w:ascii="Calibri Light" w:hAnsi="Calibri Light"/>
          <w:b/>
          <w:bCs/>
          <w:lang w:val="bs-Latn-BA"/>
        </w:rPr>
      </w:pPr>
      <w:r w:rsidRPr="2D76CBAE">
        <w:rPr>
          <w:rFonts w:ascii="Calibri Light" w:hAnsi="Calibri Light"/>
          <w:b/>
          <w:bCs/>
          <w:lang w:val="bs-Latn-BA"/>
        </w:rPr>
        <w:t>Vizuelna identifikacija birača</w:t>
      </w:r>
      <w:r w:rsidR="001955EE" w:rsidRPr="2D76CBAE">
        <w:rPr>
          <w:rFonts w:ascii="Calibri Light" w:hAnsi="Calibri Light"/>
          <w:b/>
          <w:bCs/>
          <w:lang w:val="bs-Latn-BA"/>
        </w:rPr>
        <w:t xml:space="preserve"> (u slučaju kvara ili nestanka struje)</w:t>
      </w:r>
    </w:p>
    <w:p w14:paraId="5A856A9A" w14:textId="77777777" w:rsidR="003F4B9D" w:rsidRPr="00A26ED2" w:rsidRDefault="003F4B9D" w:rsidP="2D76CBAE">
      <w:pPr>
        <w:jc w:val="both"/>
        <w:rPr>
          <w:rFonts w:ascii="Calibri Light" w:hAnsi="Calibri Light"/>
          <w:lang w:val="bs-Latn-BA"/>
        </w:rPr>
      </w:pPr>
      <w:r w:rsidRPr="2D76CBAE">
        <w:rPr>
          <w:rFonts w:ascii="Calibri Light" w:hAnsi="Calibri Light"/>
          <w:lang w:val="bs-Latn-BA"/>
        </w:rPr>
        <w:t xml:space="preserve">Ukoliko zbog opravdanih, objektivnih okolnosti, kao što su višesatni nestanak električne energije ili kvar </w:t>
      </w:r>
      <w:r w:rsidR="006E151D" w:rsidRPr="2D76CBAE">
        <w:rPr>
          <w:rFonts w:ascii="Calibri Light" w:hAnsi="Calibri Light"/>
          <w:lang w:val="bs-Latn-BA"/>
        </w:rPr>
        <w:t xml:space="preserve">na </w:t>
      </w:r>
      <w:r w:rsidRPr="2D76CBAE">
        <w:rPr>
          <w:rFonts w:ascii="Calibri Light" w:hAnsi="Calibri Light"/>
          <w:lang w:val="bs-Latn-BA"/>
        </w:rPr>
        <w:t>uređaju, tokom glasanja bude onemogućena elektronska identifikacija birača, birački odbor će donijeti odluku da nastavi glasanje po sistemu vizuelne identifikacije. O donošenju odluke za nastavljanje glasanja po sistemu vizuelne identifikacije birački odbor obavještava opštinsku izbornu komisiju.</w:t>
      </w:r>
    </w:p>
    <w:p w14:paraId="4F81241B" w14:textId="77777777" w:rsidR="003F4B9D" w:rsidRPr="00A26ED2" w:rsidRDefault="003F4B9D" w:rsidP="2D76CBAE">
      <w:pPr>
        <w:jc w:val="both"/>
        <w:rPr>
          <w:rFonts w:ascii="Calibri Light" w:hAnsi="Calibri Light"/>
          <w:lang w:val="bs-Latn-BA"/>
        </w:rPr>
      </w:pPr>
      <w:r w:rsidRPr="2D76CBAE">
        <w:rPr>
          <w:rFonts w:ascii="Calibri Light" w:hAnsi="Calibri Light"/>
          <w:lang w:val="bs-Latn-BA"/>
        </w:rPr>
        <w:t>Vizuelna identifikacija podrazumijeva da predsjednik biračkog odbora uvidom u ličnu kartu ili pasoš potvrdi identitet birača, pronađe ga u odštampanom biračkom spisku i zaokruži, omogući mu da se potpiše, preuzme glasački listić i uputi ga u prostor za glasanje.</w:t>
      </w:r>
    </w:p>
    <w:p w14:paraId="1E094AD4" w14:textId="77777777" w:rsidR="003F4B9D" w:rsidRPr="00A26ED2" w:rsidRDefault="003F4B9D" w:rsidP="2D76CBAE">
      <w:pPr>
        <w:jc w:val="both"/>
        <w:rPr>
          <w:rFonts w:ascii="Calibri Light" w:hAnsi="Calibri Light"/>
          <w:lang w:val="bs-Latn-BA"/>
        </w:rPr>
      </w:pPr>
      <w:r w:rsidRPr="2D76CBAE">
        <w:rPr>
          <w:rFonts w:ascii="Calibri Light" w:hAnsi="Calibri Light"/>
          <w:lang w:val="bs-Latn-BA"/>
        </w:rPr>
        <w:t>Kada birač glasa, predsjednik i član biračkog odbora iz suprotne političke opcije će čitko i svojeručno potpisati glasački-kontrolni kupon sa druge strane (poleđina).</w:t>
      </w:r>
    </w:p>
    <w:p w14:paraId="399B190B" w14:textId="77777777" w:rsidR="007E664D" w:rsidRPr="00407ACC" w:rsidRDefault="003B2309" w:rsidP="2D76CBAE">
      <w:pPr>
        <w:pStyle w:val="ListParagraph"/>
        <w:numPr>
          <w:ilvl w:val="0"/>
          <w:numId w:val="16"/>
        </w:numPr>
        <w:jc w:val="both"/>
        <w:rPr>
          <w:rFonts w:ascii="Calibri Light" w:hAnsi="Calibri Light"/>
          <w:b/>
          <w:bCs/>
          <w:lang w:val="bs-Latn-BA"/>
        </w:rPr>
      </w:pPr>
      <w:r w:rsidRPr="2D76CBAE">
        <w:rPr>
          <w:rFonts w:ascii="Calibri Light" w:hAnsi="Calibri Light"/>
          <w:b/>
          <w:bCs/>
          <w:lang w:val="bs-Latn-BA"/>
        </w:rPr>
        <w:t xml:space="preserve">Glasanje </w:t>
      </w:r>
      <w:r w:rsidR="001955EE" w:rsidRPr="2D76CBAE">
        <w:rPr>
          <w:rFonts w:ascii="Calibri Light" w:hAnsi="Calibri Light"/>
          <w:b/>
          <w:bCs/>
          <w:lang w:val="bs-Latn-BA"/>
        </w:rPr>
        <w:t>osoba sa invaliditetom</w:t>
      </w:r>
    </w:p>
    <w:p w14:paraId="3E167C94" w14:textId="77777777" w:rsidR="00407ACC" w:rsidRPr="006344C7" w:rsidRDefault="00407ACC" w:rsidP="2D76CBAE">
      <w:pPr>
        <w:jc w:val="both"/>
        <w:rPr>
          <w:rFonts w:ascii="Calibri Light" w:hAnsi="Calibri Light"/>
          <w:lang w:val="bs-Latn-BA"/>
        </w:rPr>
      </w:pPr>
      <w:r w:rsidRPr="2D76CBAE">
        <w:rPr>
          <w:rFonts w:ascii="Calibri Light" w:hAnsi="Calibri Light"/>
          <w:lang w:val="bs-Latn-BA"/>
        </w:rPr>
        <w:t>Opštinska izborna komisija dužna je da vodi računa da biračka mjesta budu pristupačna osobama s invaliditetom. Biračko mjesto treba da bude smješteno u objektu koji je dostupan osobama s</w:t>
      </w:r>
      <w:r w:rsidR="006344C7" w:rsidRPr="2D76CBAE">
        <w:rPr>
          <w:rFonts w:ascii="Calibri Light" w:hAnsi="Calibri Light"/>
          <w:lang w:val="bs-Latn-BA"/>
        </w:rPr>
        <w:t>a invaliditetom, odnosno da o</w:t>
      </w:r>
      <w:r w:rsidRPr="2D76CBAE">
        <w:rPr>
          <w:rFonts w:ascii="Calibri Light" w:hAnsi="Calibri Light"/>
          <w:lang w:val="bs-Latn-BA"/>
        </w:rPr>
        <w:t xml:space="preserve">bjekat ima ravnu podlogu, kosu rampu ili lift za osobe koje se otežano kreću ili su korisnici invalidskih kolica. Pristup može biti obezbijeđen privremenim montažnim kosim rampama (od punog drveta ili metala) nagiba ne većeg od 8%. </w:t>
      </w:r>
    </w:p>
    <w:p w14:paraId="6721DA65" w14:textId="77777777" w:rsidR="00407ACC" w:rsidRDefault="00407ACC" w:rsidP="2D76CBAE">
      <w:pPr>
        <w:jc w:val="both"/>
        <w:rPr>
          <w:rFonts w:ascii="Calibri Light" w:hAnsi="Calibri Light" w:cs="Calibri Light"/>
          <w:lang w:val="bs-Latn-BA"/>
        </w:rPr>
      </w:pPr>
      <w:r w:rsidRPr="2D76CBAE">
        <w:rPr>
          <w:rFonts w:ascii="Calibri Light" w:hAnsi="Calibri Light" w:cs="Calibri Light"/>
          <w:lang w:val="bs-Latn-BA"/>
        </w:rPr>
        <w:t>Radna površina na kojoj je postavljena kutija za glasanje je visine do 40 cm kako bi lica niskog rasta i korisnici kolica mogli samostalno da stave glasački listić u glasačku kutiju.</w:t>
      </w:r>
    </w:p>
    <w:p w14:paraId="2181E916" w14:textId="77777777" w:rsidR="00407ACC" w:rsidRDefault="00407ACC" w:rsidP="2D76CBAE">
      <w:pPr>
        <w:jc w:val="both"/>
        <w:rPr>
          <w:rFonts w:ascii="Calibri Light" w:hAnsi="Calibri Light" w:cs="Calibri Light"/>
          <w:lang w:val="bs-Latn-BA"/>
        </w:rPr>
      </w:pPr>
      <w:r w:rsidRPr="2D76CBAE">
        <w:rPr>
          <w:rFonts w:ascii="Calibri Light" w:hAnsi="Calibri Light" w:cs="Calibri Light"/>
          <w:lang w:val="bs-Latn-BA"/>
        </w:rPr>
        <w:t xml:space="preserve">Paravani za glasanje su oblika i dimenzija koje obezbjeđuju tajnost glasanja i to: širina najmanje 80cm, dubina 70cm, polica za pisanje visine 104cm, a za lica niskog rasta i u invalidskim kolicima na visini 72cm. </w:t>
      </w:r>
    </w:p>
    <w:p w14:paraId="01712516" w14:textId="77777777" w:rsidR="00BA4258" w:rsidRDefault="001955EE" w:rsidP="2D76CBAE">
      <w:pPr>
        <w:jc w:val="both"/>
        <w:rPr>
          <w:rFonts w:ascii="Calibri Light" w:hAnsi="Calibri Light" w:cs="Calibri Light"/>
          <w:lang w:val="bs-Latn-BA"/>
        </w:rPr>
      </w:pPr>
      <w:r w:rsidRPr="2D76CBAE">
        <w:rPr>
          <w:rFonts w:ascii="Calibri Light" w:hAnsi="Calibri Light" w:cs="Calibri Light"/>
          <w:lang w:val="bs-Latn-BA"/>
        </w:rPr>
        <w:t>Nadležna izborna komisija je dužna da na svakom biračkom mjestu obezbijedi odgovarajući šablon koji omogućava biraču sa oštećenjem vida da lično glasa.</w:t>
      </w:r>
      <w:r w:rsidR="006E151D" w:rsidRPr="2D76CBAE">
        <w:rPr>
          <w:rFonts w:ascii="Calibri Light" w:hAnsi="Calibri Light" w:cs="Calibri Light"/>
          <w:lang w:val="bs-Latn-BA"/>
        </w:rPr>
        <w:t xml:space="preserve"> Šablon za glasački listić </w:t>
      </w:r>
      <w:r w:rsidR="00BA4258" w:rsidRPr="2D76CBAE">
        <w:rPr>
          <w:rFonts w:ascii="Calibri Light" w:hAnsi="Calibri Light" w:cs="Calibri Light"/>
          <w:lang w:val="bs-Latn-BA"/>
        </w:rPr>
        <w:t>je tamnoplave boje</w:t>
      </w:r>
      <w:r w:rsidR="006E151D" w:rsidRPr="2D76CBAE">
        <w:rPr>
          <w:rFonts w:ascii="Calibri Light" w:hAnsi="Calibri Light" w:cs="Calibri Light"/>
          <w:lang w:val="bs-Latn-BA"/>
        </w:rPr>
        <w:t xml:space="preserve"> i </w:t>
      </w:r>
      <w:r w:rsidR="006E151D" w:rsidRPr="2D76CBAE">
        <w:rPr>
          <w:rFonts w:ascii="Calibri Light" w:hAnsi="Calibri Light" w:cs="Calibri Light"/>
          <w:lang w:val="bs-Latn-BA"/>
        </w:rPr>
        <w:lastRenderedPageBreak/>
        <w:t>sadrži proreze koji položajem odgovaraju položaju rednih brojeva izbornih lista na glasačkom listiću. U cilju zaštite tajnosti glasanja na rubovima proreza na šablonu postavljeni su metalni prstenovi.</w:t>
      </w:r>
      <w:r w:rsidR="00BA4258" w:rsidRPr="2D76CBAE">
        <w:rPr>
          <w:rFonts w:ascii="Calibri Light" w:hAnsi="Calibri Light" w:cs="Calibri Light"/>
          <w:lang w:val="bs-Latn-BA"/>
        </w:rPr>
        <w:t xml:space="preserve"> </w:t>
      </w:r>
    </w:p>
    <w:p w14:paraId="43B11490" w14:textId="77777777" w:rsidR="00407ACC" w:rsidRDefault="00407ACC" w:rsidP="2D76CBAE">
      <w:pPr>
        <w:jc w:val="both"/>
        <w:rPr>
          <w:rFonts w:ascii="Calibri Light" w:hAnsi="Calibri Light" w:cs="Calibri Light"/>
          <w:lang w:val="bs-Latn-BA"/>
        </w:rPr>
      </w:pPr>
      <w:r w:rsidRPr="2D76CBAE">
        <w:rPr>
          <w:rFonts w:ascii="Calibri Light" w:hAnsi="Calibri Light" w:cs="Calibri Light"/>
          <w:lang w:val="bs-Latn-BA"/>
        </w:rPr>
        <w:t>U cilju orijentacije i samostalnog kretanja birača s oštećenim vidom na biračkom mjestu treba da budu obezbijeđene taktilne trake u vidu traka od etisona.</w:t>
      </w:r>
    </w:p>
    <w:p w14:paraId="3E52A443" w14:textId="77777777" w:rsidR="003B2309" w:rsidRPr="00A26ED2" w:rsidRDefault="003B2309" w:rsidP="2D76CBAE">
      <w:pPr>
        <w:jc w:val="both"/>
        <w:rPr>
          <w:rFonts w:ascii="Calibri Light" w:hAnsi="Calibri Light"/>
          <w:b/>
          <w:bCs/>
          <w:lang w:val="bs-Latn-BA"/>
        </w:rPr>
      </w:pPr>
      <w:r w:rsidRPr="2D76CBAE">
        <w:rPr>
          <w:rFonts w:ascii="Calibri Light" w:hAnsi="Calibri Light"/>
          <w:b/>
          <w:bCs/>
          <w:lang w:val="bs-Latn-BA"/>
        </w:rPr>
        <w:t>Svaki birač glasa lično.</w:t>
      </w:r>
      <w:r w:rsidR="003C43A7" w:rsidRPr="2D76CBAE">
        <w:rPr>
          <w:rFonts w:ascii="Calibri Light" w:hAnsi="Calibri Light"/>
          <w:b/>
          <w:bCs/>
          <w:lang w:val="bs-Latn-BA"/>
        </w:rPr>
        <w:t xml:space="preserve"> </w:t>
      </w:r>
      <w:r w:rsidR="00E82346" w:rsidRPr="2D76CBAE">
        <w:rPr>
          <w:rFonts w:ascii="Calibri Light" w:hAnsi="Calibri Light"/>
          <w:b/>
          <w:bCs/>
          <w:lang w:val="bs-Latn-BA"/>
        </w:rPr>
        <w:t>U slučaju glasanja na biračkom mjestu, postoji</w:t>
      </w:r>
      <w:r w:rsidRPr="2D76CBAE">
        <w:rPr>
          <w:rFonts w:ascii="Calibri Light" w:hAnsi="Calibri Light"/>
          <w:b/>
          <w:bCs/>
          <w:lang w:val="bs-Latn-BA"/>
        </w:rPr>
        <w:t xml:space="preserve"> jedan izuzetak</w:t>
      </w:r>
      <w:r w:rsidR="00E82346" w:rsidRPr="2D76CBAE">
        <w:rPr>
          <w:rFonts w:ascii="Calibri Light" w:hAnsi="Calibri Light"/>
          <w:b/>
          <w:bCs/>
          <w:lang w:val="bs-Latn-BA"/>
        </w:rPr>
        <w:t xml:space="preserve"> od ovog pravila</w:t>
      </w:r>
      <w:r w:rsidRPr="2D76CBAE">
        <w:rPr>
          <w:rFonts w:ascii="Calibri Light" w:hAnsi="Calibri Light"/>
          <w:b/>
          <w:bCs/>
          <w:lang w:val="bs-Latn-BA"/>
        </w:rPr>
        <w:t>.</w:t>
      </w:r>
    </w:p>
    <w:p w14:paraId="5997CC1D" w14:textId="7F8F24C5" w:rsidR="00EF5D92" w:rsidRPr="00CE0996" w:rsidRDefault="003B2309" w:rsidP="00CE0996">
      <w:pPr>
        <w:jc w:val="both"/>
        <w:rPr>
          <w:rFonts w:ascii="Calibri Light" w:hAnsi="Calibri Light"/>
          <w:b/>
          <w:bCs/>
          <w:lang w:val="bs-Latn-BA"/>
        </w:rPr>
      </w:pPr>
      <w:r w:rsidRPr="2D76CBAE">
        <w:rPr>
          <w:rFonts w:ascii="Calibri Light" w:hAnsi="Calibri Light"/>
          <w:lang w:val="bs-Latn-BA"/>
        </w:rPr>
        <w:t>Birač koji, zbog nepristupačnosti biračkog mjesta, informacija i komunikacija (lice sa invaliditetom) ili nepismenosti (nepismeno lice) nije u mogućnosti da na biračkom mjestu lično glasa, ima pravo da to učini uz pomoć asistenta kojeg on sam odredi, a koji je dužan da listić popuni, odnosno glasanje obavi na način na koji mu birač naloži.</w:t>
      </w:r>
      <w:r w:rsidR="003C43A7" w:rsidRPr="2D76CBAE">
        <w:rPr>
          <w:rFonts w:ascii="Calibri Light" w:hAnsi="Calibri Light"/>
          <w:lang w:val="bs-Latn-BA"/>
        </w:rPr>
        <w:t xml:space="preserve"> </w:t>
      </w:r>
      <w:r w:rsidRPr="2D76CBAE">
        <w:rPr>
          <w:rFonts w:ascii="Calibri Light" w:hAnsi="Calibri Light"/>
          <w:b/>
          <w:bCs/>
          <w:lang w:val="bs-Latn-BA"/>
        </w:rPr>
        <w:t>Glasanje za birača ne može obaviti član biračkog odbora, ni opunomoćeni predstavnik podnosioca izborne liste.</w:t>
      </w:r>
    </w:p>
    <w:sectPr w:rsidR="00EF5D92" w:rsidRPr="00CE0996" w:rsidSect="00192D1C">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4702" w14:textId="77777777" w:rsidR="005A4BD1" w:rsidRDefault="005A4BD1" w:rsidP="00592D51">
      <w:pPr>
        <w:spacing w:after="0" w:line="240" w:lineRule="auto"/>
      </w:pPr>
      <w:r>
        <w:separator/>
      </w:r>
    </w:p>
  </w:endnote>
  <w:endnote w:type="continuationSeparator" w:id="0">
    <w:p w14:paraId="5503B4D2" w14:textId="77777777" w:rsidR="005A4BD1" w:rsidRDefault="005A4BD1" w:rsidP="0059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8381" w14:textId="77777777" w:rsidR="005A4BD1" w:rsidRDefault="005A4BD1" w:rsidP="00592D51">
      <w:pPr>
        <w:spacing w:after="0" w:line="240" w:lineRule="auto"/>
      </w:pPr>
      <w:r>
        <w:separator/>
      </w:r>
    </w:p>
  </w:footnote>
  <w:footnote w:type="continuationSeparator" w:id="0">
    <w:p w14:paraId="3A8C613C" w14:textId="77777777" w:rsidR="005A4BD1" w:rsidRDefault="005A4BD1" w:rsidP="00592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48E21"/>
    <w:multiLevelType w:val="hybridMultilevel"/>
    <w:tmpl w:val="BEC185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039AA"/>
    <w:multiLevelType w:val="hybridMultilevel"/>
    <w:tmpl w:val="FBB01F3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06A646D4"/>
    <w:multiLevelType w:val="hybridMultilevel"/>
    <w:tmpl w:val="A1E09712"/>
    <w:lvl w:ilvl="0" w:tplc="3D88E03C">
      <w:start w:val="1"/>
      <w:numFmt w:val="decimal"/>
      <w:lvlText w:val="%1."/>
      <w:lvlJc w:val="left"/>
      <w:pPr>
        <w:ind w:left="720" w:hanging="360"/>
      </w:pPr>
      <w:rPr>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6F5231A"/>
    <w:multiLevelType w:val="hybridMultilevel"/>
    <w:tmpl w:val="B11ADB4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0CEA2297"/>
    <w:multiLevelType w:val="hybridMultilevel"/>
    <w:tmpl w:val="806295A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0DC57C4C"/>
    <w:multiLevelType w:val="hybridMultilevel"/>
    <w:tmpl w:val="679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37B3D"/>
    <w:multiLevelType w:val="hybridMultilevel"/>
    <w:tmpl w:val="4092993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1621245A"/>
    <w:multiLevelType w:val="hybridMultilevel"/>
    <w:tmpl w:val="99E0B6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1BE42E40"/>
    <w:multiLevelType w:val="hybridMultilevel"/>
    <w:tmpl w:val="F92E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E5FE4"/>
    <w:multiLevelType w:val="hybridMultilevel"/>
    <w:tmpl w:val="EB8CEB5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258B7A32"/>
    <w:multiLevelType w:val="hybridMultilevel"/>
    <w:tmpl w:val="502281F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28DD5ED5"/>
    <w:multiLevelType w:val="hybridMultilevel"/>
    <w:tmpl w:val="DCF4016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2B161EE1"/>
    <w:multiLevelType w:val="hybridMultilevel"/>
    <w:tmpl w:val="1BD8A01A"/>
    <w:lvl w:ilvl="0" w:tplc="2C1A0001">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3" w15:restartNumberingAfterBreak="0">
    <w:nsid w:val="37D76F83"/>
    <w:multiLevelType w:val="hybridMultilevel"/>
    <w:tmpl w:val="91B41E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3AB2091A"/>
    <w:multiLevelType w:val="hybridMultilevel"/>
    <w:tmpl w:val="96D04CC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410B7C21"/>
    <w:multiLevelType w:val="hybridMultilevel"/>
    <w:tmpl w:val="B9F6C84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434F75BB"/>
    <w:multiLevelType w:val="hybridMultilevel"/>
    <w:tmpl w:val="A55A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A4D68"/>
    <w:multiLevelType w:val="hybridMultilevel"/>
    <w:tmpl w:val="C220CAAE"/>
    <w:lvl w:ilvl="0" w:tplc="3D88E03C">
      <w:start w:val="1"/>
      <w:numFmt w:val="decimal"/>
      <w:lvlText w:val="%1."/>
      <w:lvlJc w:val="left"/>
      <w:pPr>
        <w:ind w:left="1080" w:hanging="360"/>
      </w:pPr>
      <w:rPr>
        <w:b/>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8" w15:restartNumberingAfterBreak="0">
    <w:nsid w:val="49620AAA"/>
    <w:multiLevelType w:val="hybridMultilevel"/>
    <w:tmpl w:val="3FCE27D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51E20398"/>
    <w:multiLevelType w:val="hybridMultilevel"/>
    <w:tmpl w:val="3544D650"/>
    <w:lvl w:ilvl="0" w:tplc="3D88E03C">
      <w:start w:val="1"/>
      <w:numFmt w:val="decimal"/>
      <w:lvlText w:val="%1."/>
      <w:lvlJc w:val="left"/>
      <w:pPr>
        <w:ind w:left="720" w:hanging="360"/>
      </w:pPr>
      <w:rPr>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15:restartNumberingAfterBreak="0">
    <w:nsid w:val="5B103BFC"/>
    <w:multiLevelType w:val="hybridMultilevel"/>
    <w:tmpl w:val="968E6C5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15:restartNumberingAfterBreak="0">
    <w:nsid w:val="604F0B3F"/>
    <w:multiLevelType w:val="hybridMultilevel"/>
    <w:tmpl w:val="40A45EC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69F1203E"/>
    <w:multiLevelType w:val="hybridMultilevel"/>
    <w:tmpl w:val="3A74E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139BF"/>
    <w:multiLevelType w:val="hybridMultilevel"/>
    <w:tmpl w:val="CD2C895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6C891F2D"/>
    <w:multiLevelType w:val="hybridMultilevel"/>
    <w:tmpl w:val="4260D8EA"/>
    <w:lvl w:ilvl="0" w:tplc="3D88E03C">
      <w:start w:val="1"/>
      <w:numFmt w:val="decimal"/>
      <w:lvlText w:val="%1."/>
      <w:lvlJc w:val="left"/>
      <w:pPr>
        <w:ind w:left="720" w:hanging="360"/>
      </w:pPr>
      <w:rPr>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744D7501"/>
    <w:multiLevelType w:val="hybridMultilevel"/>
    <w:tmpl w:val="F732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D0D41"/>
    <w:multiLevelType w:val="hybridMultilevel"/>
    <w:tmpl w:val="4E0CA51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7C6045F3"/>
    <w:multiLevelType w:val="hybridMultilevel"/>
    <w:tmpl w:val="6D62E92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16cid:durableId="1352681249">
    <w:abstractNumId w:val="19"/>
  </w:num>
  <w:num w:numId="2" w16cid:durableId="1654749602">
    <w:abstractNumId w:val="0"/>
  </w:num>
  <w:num w:numId="3" w16cid:durableId="198901888">
    <w:abstractNumId w:val="23"/>
  </w:num>
  <w:num w:numId="4" w16cid:durableId="368452203">
    <w:abstractNumId w:val="2"/>
  </w:num>
  <w:num w:numId="5" w16cid:durableId="766197270">
    <w:abstractNumId w:val="12"/>
  </w:num>
  <w:num w:numId="6" w16cid:durableId="32117582">
    <w:abstractNumId w:val="15"/>
  </w:num>
  <w:num w:numId="7" w16cid:durableId="609357044">
    <w:abstractNumId w:val="1"/>
  </w:num>
  <w:num w:numId="8" w16cid:durableId="1368411969">
    <w:abstractNumId w:val="24"/>
  </w:num>
  <w:num w:numId="9" w16cid:durableId="892697715">
    <w:abstractNumId w:val="17"/>
  </w:num>
  <w:num w:numId="10" w16cid:durableId="890337729">
    <w:abstractNumId w:val="9"/>
  </w:num>
  <w:num w:numId="11" w16cid:durableId="1518037546">
    <w:abstractNumId w:val="7"/>
  </w:num>
  <w:num w:numId="12" w16cid:durableId="1338924458">
    <w:abstractNumId w:val="10"/>
  </w:num>
  <w:num w:numId="13" w16cid:durableId="2049838259">
    <w:abstractNumId w:val="4"/>
  </w:num>
  <w:num w:numId="14" w16cid:durableId="139925041">
    <w:abstractNumId w:val="3"/>
  </w:num>
  <w:num w:numId="15" w16cid:durableId="1860043751">
    <w:abstractNumId w:val="18"/>
  </w:num>
  <w:num w:numId="16" w16cid:durableId="1901282128">
    <w:abstractNumId w:val="21"/>
  </w:num>
  <w:num w:numId="17" w16cid:durableId="974487333">
    <w:abstractNumId w:val="20"/>
  </w:num>
  <w:num w:numId="18" w16cid:durableId="595552443">
    <w:abstractNumId w:val="11"/>
  </w:num>
  <w:num w:numId="19" w16cid:durableId="2051761091">
    <w:abstractNumId w:val="14"/>
  </w:num>
  <w:num w:numId="20" w16cid:durableId="712192228">
    <w:abstractNumId w:val="6"/>
  </w:num>
  <w:num w:numId="21" w16cid:durableId="504438888">
    <w:abstractNumId w:val="27"/>
  </w:num>
  <w:num w:numId="22" w16cid:durableId="1318805094">
    <w:abstractNumId w:val="26"/>
  </w:num>
  <w:num w:numId="23" w16cid:durableId="1889871744">
    <w:abstractNumId w:val="22"/>
  </w:num>
  <w:num w:numId="24" w16cid:durableId="683475872">
    <w:abstractNumId w:val="13"/>
  </w:num>
  <w:num w:numId="25" w16cid:durableId="414011287">
    <w:abstractNumId w:val="8"/>
  </w:num>
  <w:num w:numId="26" w16cid:durableId="610934215">
    <w:abstractNumId w:val="16"/>
  </w:num>
  <w:num w:numId="27" w16cid:durableId="573470800">
    <w:abstractNumId w:val="25"/>
  </w:num>
  <w:num w:numId="28" w16cid:durableId="667095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78C7"/>
    <w:rsid w:val="000109D9"/>
    <w:rsid w:val="00013390"/>
    <w:rsid w:val="00017150"/>
    <w:rsid w:val="00017D7B"/>
    <w:rsid w:val="00034DEB"/>
    <w:rsid w:val="00070E99"/>
    <w:rsid w:val="00087044"/>
    <w:rsid w:val="000B60E4"/>
    <w:rsid w:val="000D04FF"/>
    <w:rsid w:val="000D3999"/>
    <w:rsid w:val="000F6BB9"/>
    <w:rsid w:val="00122EFE"/>
    <w:rsid w:val="00134B73"/>
    <w:rsid w:val="001635AA"/>
    <w:rsid w:val="0016578C"/>
    <w:rsid w:val="00192D1C"/>
    <w:rsid w:val="001955EE"/>
    <w:rsid w:val="001B2111"/>
    <w:rsid w:val="002168A7"/>
    <w:rsid w:val="0022485F"/>
    <w:rsid w:val="00227E76"/>
    <w:rsid w:val="0023477E"/>
    <w:rsid w:val="00241F92"/>
    <w:rsid w:val="0024778D"/>
    <w:rsid w:val="0026321F"/>
    <w:rsid w:val="0027460D"/>
    <w:rsid w:val="00275153"/>
    <w:rsid w:val="00294F23"/>
    <w:rsid w:val="002B06D3"/>
    <w:rsid w:val="002D2F36"/>
    <w:rsid w:val="002E0C13"/>
    <w:rsid w:val="002F1140"/>
    <w:rsid w:val="002F37FA"/>
    <w:rsid w:val="00304060"/>
    <w:rsid w:val="00317AA6"/>
    <w:rsid w:val="00335247"/>
    <w:rsid w:val="003438B8"/>
    <w:rsid w:val="003454FF"/>
    <w:rsid w:val="0035641E"/>
    <w:rsid w:val="00363F0F"/>
    <w:rsid w:val="003643C5"/>
    <w:rsid w:val="003742A2"/>
    <w:rsid w:val="00394AE9"/>
    <w:rsid w:val="003A1E4B"/>
    <w:rsid w:val="003B2309"/>
    <w:rsid w:val="003C43A7"/>
    <w:rsid w:val="003C7DDD"/>
    <w:rsid w:val="003E75D2"/>
    <w:rsid w:val="003F4B9D"/>
    <w:rsid w:val="00407ACC"/>
    <w:rsid w:val="00414412"/>
    <w:rsid w:val="0042186A"/>
    <w:rsid w:val="00435CE5"/>
    <w:rsid w:val="00464448"/>
    <w:rsid w:val="0046490E"/>
    <w:rsid w:val="0047273F"/>
    <w:rsid w:val="00477160"/>
    <w:rsid w:val="00490CD7"/>
    <w:rsid w:val="0049678A"/>
    <w:rsid w:val="004A1675"/>
    <w:rsid w:val="004B5FEA"/>
    <w:rsid w:val="004B7BA8"/>
    <w:rsid w:val="004C03F3"/>
    <w:rsid w:val="004F05CD"/>
    <w:rsid w:val="004F2FDD"/>
    <w:rsid w:val="00507AE6"/>
    <w:rsid w:val="00510AB0"/>
    <w:rsid w:val="0054205A"/>
    <w:rsid w:val="0054313E"/>
    <w:rsid w:val="00564235"/>
    <w:rsid w:val="00576172"/>
    <w:rsid w:val="00583314"/>
    <w:rsid w:val="00592D51"/>
    <w:rsid w:val="00595146"/>
    <w:rsid w:val="005A2CF5"/>
    <w:rsid w:val="005A4BD1"/>
    <w:rsid w:val="005B1D3D"/>
    <w:rsid w:val="005B1FDA"/>
    <w:rsid w:val="005B3528"/>
    <w:rsid w:val="005C45A5"/>
    <w:rsid w:val="005E1DD3"/>
    <w:rsid w:val="005E6270"/>
    <w:rsid w:val="005F44B8"/>
    <w:rsid w:val="006122C1"/>
    <w:rsid w:val="006344C7"/>
    <w:rsid w:val="00663B62"/>
    <w:rsid w:val="006A7407"/>
    <w:rsid w:val="006B49A2"/>
    <w:rsid w:val="006C3593"/>
    <w:rsid w:val="006D3D1C"/>
    <w:rsid w:val="006E151D"/>
    <w:rsid w:val="0073719D"/>
    <w:rsid w:val="00756BA0"/>
    <w:rsid w:val="00760CFC"/>
    <w:rsid w:val="007670EA"/>
    <w:rsid w:val="00767514"/>
    <w:rsid w:val="00771EFE"/>
    <w:rsid w:val="00797D05"/>
    <w:rsid w:val="007C4287"/>
    <w:rsid w:val="007E572F"/>
    <w:rsid w:val="007E664D"/>
    <w:rsid w:val="007F2A0B"/>
    <w:rsid w:val="007F6A19"/>
    <w:rsid w:val="00821D9D"/>
    <w:rsid w:val="00827E7D"/>
    <w:rsid w:val="00854C3B"/>
    <w:rsid w:val="008671EE"/>
    <w:rsid w:val="0087150D"/>
    <w:rsid w:val="0088048F"/>
    <w:rsid w:val="008860B2"/>
    <w:rsid w:val="008A240C"/>
    <w:rsid w:val="008A42D3"/>
    <w:rsid w:val="008C4624"/>
    <w:rsid w:val="0090015D"/>
    <w:rsid w:val="00900698"/>
    <w:rsid w:val="0090694D"/>
    <w:rsid w:val="00914E2C"/>
    <w:rsid w:val="00915558"/>
    <w:rsid w:val="0091636A"/>
    <w:rsid w:val="009243B4"/>
    <w:rsid w:val="009267DC"/>
    <w:rsid w:val="009478C7"/>
    <w:rsid w:val="0095093B"/>
    <w:rsid w:val="00962711"/>
    <w:rsid w:val="00962A88"/>
    <w:rsid w:val="0098072D"/>
    <w:rsid w:val="00996EA6"/>
    <w:rsid w:val="009D2EC5"/>
    <w:rsid w:val="009E2B74"/>
    <w:rsid w:val="009E4BD2"/>
    <w:rsid w:val="009F5C46"/>
    <w:rsid w:val="00A029D5"/>
    <w:rsid w:val="00A0507B"/>
    <w:rsid w:val="00A111B0"/>
    <w:rsid w:val="00A164F9"/>
    <w:rsid w:val="00A22FC6"/>
    <w:rsid w:val="00A24C7E"/>
    <w:rsid w:val="00A2624F"/>
    <w:rsid w:val="00A263FC"/>
    <w:rsid w:val="00A2655C"/>
    <w:rsid w:val="00A26ED2"/>
    <w:rsid w:val="00A51D17"/>
    <w:rsid w:val="00A548D8"/>
    <w:rsid w:val="00A55170"/>
    <w:rsid w:val="00A60B8C"/>
    <w:rsid w:val="00A6460C"/>
    <w:rsid w:val="00A656EC"/>
    <w:rsid w:val="00A71503"/>
    <w:rsid w:val="00AA26DB"/>
    <w:rsid w:val="00AD679C"/>
    <w:rsid w:val="00AD71DB"/>
    <w:rsid w:val="00AF5BB8"/>
    <w:rsid w:val="00B019D7"/>
    <w:rsid w:val="00B462A5"/>
    <w:rsid w:val="00B67FDC"/>
    <w:rsid w:val="00B751A2"/>
    <w:rsid w:val="00B767BB"/>
    <w:rsid w:val="00B853E7"/>
    <w:rsid w:val="00B9415A"/>
    <w:rsid w:val="00BA09A0"/>
    <w:rsid w:val="00BA4258"/>
    <w:rsid w:val="00BB1F8C"/>
    <w:rsid w:val="00BC109E"/>
    <w:rsid w:val="00BC6438"/>
    <w:rsid w:val="00BD668E"/>
    <w:rsid w:val="00BF123B"/>
    <w:rsid w:val="00C51EF1"/>
    <w:rsid w:val="00C66E43"/>
    <w:rsid w:val="00C760D9"/>
    <w:rsid w:val="00C80D87"/>
    <w:rsid w:val="00CB3C15"/>
    <w:rsid w:val="00CB5755"/>
    <w:rsid w:val="00CC2D00"/>
    <w:rsid w:val="00CC3488"/>
    <w:rsid w:val="00CE0996"/>
    <w:rsid w:val="00CE31E3"/>
    <w:rsid w:val="00CE32F1"/>
    <w:rsid w:val="00CE5012"/>
    <w:rsid w:val="00D0574B"/>
    <w:rsid w:val="00D1471E"/>
    <w:rsid w:val="00D16D70"/>
    <w:rsid w:val="00D20698"/>
    <w:rsid w:val="00D747EB"/>
    <w:rsid w:val="00D76FE2"/>
    <w:rsid w:val="00DA0399"/>
    <w:rsid w:val="00DB1B77"/>
    <w:rsid w:val="00DC1959"/>
    <w:rsid w:val="00E222B6"/>
    <w:rsid w:val="00E22B8E"/>
    <w:rsid w:val="00E2477C"/>
    <w:rsid w:val="00E50A87"/>
    <w:rsid w:val="00E7273F"/>
    <w:rsid w:val="00E82346"/>
    <w:rsid w:val="00E90460"/>
    <w:rsid w:val="00E9518C"/>
    <w:rsid w:val="00EA689B"/>
    <w:rsid w:val="00EA704F"/>
    <w:rsid w:val="00EC3ACE"/>
    <w:rsid w:val="00EC716A"/>
    <w:rsid w:val="00EC7241"/>
    <w:rsid w:val="00ED2D8E"/>
    <w:rsid w:val="00EF5D92"/>
    <w:rsid w:val="00EF7C10"/>
    <w:rsid w:val="00F076F8"/>
    <w:rsid w:val="00F21B87"/>
    <w:rsid w:val="00F22F9A"/>
    <w:rsid w:val="00F33236"/>
    <w:rsid w:val="00F36246"/>
    <w:rsid w:val="00F511DF"/>
    <w:rsid w:val="00F51F84"/>
    <w:rsid w:val="00F52FE1"/>
    <w:rsid w:val="00F64960"/>
    <w:rsid w:val="00F67894"/>
    <w:rsid w:val="00F67BBE"/>
    <w:rsid w:val="00F8477B"/>
    <w:rsid w:val="00F87D5E"/>
    <w:rsid w:val="00F957EB"/>
    <w:rsid w:val="00F96C81"/>
    <w:rsid w:val="00FA3B2D"/>
    <w:rsid w:val="00FC0E43"/>
    <w:rsid w:val="00FD0880"/>
    <w:rsid w:val="00FD088E"/>
    <w:rsid w:val="2D76C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72DA"/>
  <w15:docId w15:val="{344EC40F-A199-42FA-80CB-34C32F96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D2"/>
  </w:style>
  <w:style w:type="paragraph" w:styleId="Heading1">
    <w:name w:val="heading 1"/>
    <w:basedOn w:val="Normal"/>
    <w:next w:val="Normal"/>
    <w:link w:val="Heading1Char"/>
    <w:uiPriority w:val="9"/>
    <w:qFormat/>
    <w:rsid w:val="00A26ED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26ED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A26ED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26ED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26ED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26ED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26ED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26ED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26ED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6ED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26ED2"/>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A26ED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26ED2"/>
    <w:rPr>
      <w:rFonts w:asciiTheme="majorHAnsi" w:eastAsiaTheme="majorEastAsia" w:hAnsiTheme="majorHAnsi" w:cstheme="majorBidi"/>
      <w:color w:val="262626" w:themeColor="text1" w:themeTint="D9"/>
      <w:sz w:val="28"/>
      <w:szCs w:val="28"/>
    </w:rPr>
  </w:style>
  <w:style w:type="paragraph" w:styleId="ListParagraph">
    <w:name w:val="List Paragraph"/>
    <w:basedOn w:val="Normal"/>
    <w:uiPriority w:val="34"/>
    <w:qFormat/>
    <w:rsid w:val="00227E76"/>
    <w:pPr>
      <w:ind w:left="720"/>
      <w:contextualSpacing/>
    </w:pPr>
  </w:style>
  <w:style w:type="paragraph" w:customStyle="1" w:styleId="Default">
    <w:name w:val="Default"/>
    <w:rsid w:val="00227E76"/>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A26ED2"/>
    <w:rPr>
      <w:rFonts w:asciiTheme="majorHAnsi" w:eastAsiaTheme="majorEastAsia" w:hAnsiTheme="majorHAnsi" w:cstheme="majorBidi"/>
      <w:color w:val="0D0D0D" w:themeColor="text1" w:themeTint="F2"/>
      <w:sz w:val="24"/>
      <w:szCs w:val="24"/>
    </w:rPr>
  </w:style>
  <w:style w:type="paragraph" w:styleId="TOCHeading">
    <w:name w:val="TOC Heading"/>
    <w:basedOn w:val="Heading1"/>
    <w:next w:val="Normal"/>
    <w:uiPriority w:val="39"/>
    <w:unhideWhenUsed/>
    <w:qFormat/>
    <w:rsid w:val="00A26ED2"/>
    <w:pPr>
      <w:outlineLvl w:val="9"/>
    </w:pPr>
  </w:style>
  <w:style w:type="paragraph" w:styleId="TOC1">
    <w:name w:val="toc 1"/>
    <w:basedOn w:val="Normal"/>
    <w:next w:val="Normal"/>
    <w:autoRedefine/>
    <w:uiPriority w:val="39"/>
    <w:unhideWhenUsed/>
    <w:rsid w:val="00DA0399"/>
    <w:pPr>
      <w:spacing w:after="100"/>
    </w:pPr>
  </w:style>
  <w:style w:type="paragraph" w:styleId="TOC2">
    <w:name w:val="toc 2"/>
    <w:basedOn w:val="Normal"/>
    <w:next w:val="Normal"/>
    <w:autoRedefine/>
    <w:uiPriority w:val="39"/>
    <w:unhideWhenUsed/>
    <w:rsid w:val="00DA0399"/>
    <w:pPr>
      <w:spacing w:after="100"/>
      <w:ind w:left="220"/>
    </w:pPr>
  </w:style>
  <w:style w:type="character" w:styleId="Hyperlink">
    <w:name w:val="Hyperlink"/>
    <w:basedOn w:val="DefaultParagraphFont"/>
    <w:uiPriority w:val="99"/>
    <w:unhideWhenUsed/>
    <w:rsid w:val="00DA0399"/>
    <w:rPr>
      <w:color w:val="0066FF" w:themeColor="hyperlink"/>
      <w:u w:val="single"/>
    </w:rPr>
  </w:style>
  <w:style w:type="paragraph" w:styleId="BalloonText">
    <w:name w:val="Balloon Text"/>
    <w:basedOn w:val="Normal"/>
    <w:link w:val="BalloonTextChar"/>
    <w:uiPriority w:val="99"/>
    <w:semiHidden/>
    <w:unhideWhenUsed/>
    <w:rsid w:val="00DA0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399"/>
    <w:rPr>
      <w:rFonts w:ascii="Tahoma" w:hAnsi="Tahoma" w:cs="Tahoma"/>
      <w:sz w:val="16"/>
      <w:szCs w:val="16"/>
    </w:rPr>
  </w:style>
  <w:style w:type="paragraph" w:styleId="BodyTextIndent">
    <w:name w:val="Body Text Indent"/>
    <w:basedOn w:val="Normal"/>
    <w:link w:val="BodyTextIndentChar"/>
    <w:rsid w:val="0054205A"/>
    <w:pPr>
      <w:spacing w:after="0" w:line="240" w:lineRule="auto"/>
      <w:ind w:firstLine="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54205A"/>
    <w:rPr>
      <w:rFonts w:ascii="Arial" w:eastAsia="Times New Roman" w:hAnsi="Arial" w:cs="Arial"/>
      <w:sz w:val="24"/>
      <w:szCs w:val="24"/>
    </w:rPr>
  </w:style>
  <w:style w:type="table" w:styleId="TableGrid">
    <w:name w:val="Table Grid"/>
    <w:basedOn w:val="TableNormal"/>
    <w:uiPriority w:val="59"/>
    <w:rsid w:val="00F51F84"/>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60"/>
  </w:style>
  <w:style w:type="paragraph" w:styleId="Footer">
    <w:name w:val="footer"/>
    <w:basedOn w:val="Normal"/>
    <w:link w:val="FooterChar"/>
    <w:uiPriority w:val="99"/>
    <w:unhideWhenUsed/>
    <w:rsid w:val="00E90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60"/>
  </w:style>
  <w:style w:type="paragraph" w:styleId="NoSpacing">
    <w:name w:val="No Spacing"/>
    <w:link w:val="NoSpacingChar"/>
    <w:uiPriority w:val="1"/>
    <w:qFormat/>
    <w:rsid w:val="00A26ED2"/>
    <w:pPr>
      <w:spacing w:after="0" w:line="240" w:lineRule="auto"/>
    </w:pPr>
  </w:style>
  <w:style w:type="character" w:customStyle="1" w:styleId="NoSpacingChar">
    <w:name w:val="No Spacing Char"/>
    <w:basedOn w:val="DefaultParagraphFont"/>
    <w:link w:val="NoSpacing"/>
    <w:uiPriority w:val="1"/>
    <w:rsid w:val="00241F92"/>
  </w:style>
  <w:style w:type="character" w:styleId="IntenseEmphasis">
    <w:name w:val="Intense Emphasis"/>
    <w:basedOn w:val="DefaultParagraphFont"/>
    <w:uiPriority w:val="21"/>
    <w:qFormat/>
    <w:rsid w:val="00A26ED2"/>
    <w:rPr>
      <w:b/>
      <w:bCs/>
      <w:i/>
      <w:iCs/>
      <w:color w:val="auto"/>
    </w:rPr>
  </w:style>
  <w:style w:type="character" w:customStyle="1" w:styleId="Heading4Char">
    <w:name w:val="Heading 4 Char"/>
    <w:basedOn w:val="DefaultParagraphFont"/>
    <w:link w:val="Heading4"/>
    <w:uiPriority w:val="9"/>
    <w:semiHidden/>
    <w:rsid w:val="00A26ED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26ED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A26ED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26E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26ED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26ED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26ED2"/>
    <w:pPr>
      <w:spacing w:after="200" w:line="240" w:lineRule="auto"/>
    </w:pPr>
    <w:rPr>
      <w:i/>
      <w:iCs/>
      <w:color w:val="632E62" w:themeColor="text2"/>
      <w:sz w:val="18"/>
      <w:szCs w:val="18"/>
    </w:rPr>
  </w:style>
  <w:style w:type="paragraph" w:styleId="Subtitle">
    <w:name w:val="Subtitle"/>
    <w:basedOn w:val="Normal"/>
    <w:next w:val="Normal"/>
    <w:link w:val="SubtitleChar"/>
    <w:uiPriority w:val="11"/>
    <w:qFormat/>
    <w:rsid w:val="00A26ED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26ED2"/>
    <w:rPr>
      <w:color w:val="5A5A5A" w:themeColor="text1" w:themeTint="A5"/>
      <w:spacing w:val="15"/>
    </w:rPr>
  </w:style>
  <w:style w:type="character" w:styleId="Strong">
    <w:name w:val="Strong"/>
    <w:basedOn w:val="DefaultParagraphFont"/>
    <w:uiPriority w:val="22"/>
    <w:qFormat/>
    <w:rsid w:val="00A26ED2"/>
    <w:rPr>
      <w:b/>
      <w:bCs/>
      <w:color w:val="auto"/>
    </w:rPr>
  </w:style>
  <w:style w:type="character" w:styleId="Emphasis">
    <w:name w:val="Emphasis"/>
    <w:basedOn w:val="DefaultParagraphFont"/>
    <w:uiPriority w:val="20"/>
    <w:qFormat/>
    <w:rsid w:val="00A26ED2"/>
    <w:rPr>
      <w:i/>
      <w:iCs/>
      <w:color w:val="auto"/>
    </w:rPr>
  </w:style>
  <w:style w:type="paragraph" w:styleId="Quote">
    <w:name w:val="Quote"/>
    <w:basedOn w:val="Normal"/>
    <w:next w:val="Normal"/>
    <w:link w:val="QuoteChar"/>
    <w:uiPriority w:val="29"/>
    <w:qFormat/>
    <w:rsid w:val="00A26ED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26ED2"/>
    <w:rPr>
      <w:i/>
      <w:iCs/>
      <w:color w:val="404040" w:themeColor="text1" w:themeTint="BF"/>
    </w:rPr>
  </w:style>
  <w:style w:type="paragraph" w:styleId="IntenseQuote">
    <w:name w:val="Intense Quote"/>
    <w:basedOn w:val="Normal"/>
    <w:next w:val="Normal"/>
    <w:link w:val="IntenseQuoteChar"/>
    <w:uiPriority w:val="30"/>
    <w:qFormat/>
    <w:rsid w:val="00A26ED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26ED2"/>
    <w:rPr>
      <w:i/>
      <w:iCs/>
      <w:color w:val="404040" w:themeColor="text1" w:themeTint="BF"/>
    </w:rPr>
  </w:style>
  <w:style w:type="character" w:styleId="SubtleEmphasis">
    <w:name w:val="Subtle Emphasis"/>
    <w:basedOn w:val="DefaultParagraphFont"/>
    <w:uiPriority w:val="19"/>
    <w:qFormat/>
    <w:rsid w:val="00A26ED2"/>
    <w:rPr>
      <w:i/>
      <w:iCs/>
      <w:color w:val="404040" w:themeColor="text1" w:themeTint="BF"/>
    </w:rPr>
  </w:style>
  <w:style w:type="character" w:styleId="SubtleReference">
    <w:name w:val="Subtle Reference"/>
    <w:basedOn w:val="DefaultParagraphFont"/>
    <w:uiPriority w:val="31"/>
    <w:qFormat/>
    <w:rsid w:val="00A26ED2"/>
    <w:rPr>
      <w:smallCaps/>
      <w:color w:val="404040" w:themeColor="text1" w:themeTint="BF"/>
    </w:rPr>
  </w:style>
  <w:style w:type="character" w:styleId="IntenseReference">
    <w:name w:val="Intense Reference"/>
    <w:basedOn w:val="DefaultParagraphFont"/>
    <w:uiPriority w:val="32"/>
    <w:qFormat/>
    <w:rsid w:val="00A26ED2"/>
    <w:rPr>
      <w:b/>
      <w:bCs/>
      <w:smallCaps/>
      <w:color w:val="404040" w:themeColor="text1" w:themeTint="BF"/>
      <w:spacing w:val="5"/>
    </w:rPr>
  </w:style>
  <w:style w:type="character" w:styleId="BookTitle">
    <w:name w:val="Book Title"/>
    <w:basedOn w:val="DefaultParagraphFont"/>
    <w:uiPriority w:val="33"/>
    <w:qFormat/>
    <w:rsid w:val="00A26E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04724">
      <w:bodyDiv w:val="1"/>
      <w:marLeft w:val="0"/>
      <w:marRight w:val="0"/>
      <w:marTop w:val="0"/>
      <w:marBottom w:val="0"/>
      <w:divBdr>
        <w:top w:val="none" w:sz="0" w:space="0" w:color="auto"/>
        <w:left w:val="none" w:sz="0" w:space="0" w:color="auto"/>
        <w:bottom w:val="none" w:sz="0" w:space="0" w:color="auto"/>
        <w:right w:val="none" w:sz="0" w:space="0" w:color="auto"/>
      </w:divBdr>
    </w:div>
    <w:div w:id="924194248">
      <w:bodyDiv w:val="1"/>
      <w:marLeft w:val="0"/>
      <w:marRight w:val="0"/>
      <w:marTop w:val="0"/>
      <w:marBottom w:val="0"/>
      <w:divBdr>
        <w:top w:val="none" w:sz="0" w:space="0" w:color="auto"/>
        <w:left w:val="none" w:sz="0" w:space="0" w:color="auto"/>
        <w:bottom w:val="none" w:sz="0" w:space="0" w:color="auto"/>
        <w:right w:val="none" w:sz="0" w:space="0" w:color="auto"/>
      </w:divBdr>
    </w:div>
    <w:div w:id="1881546918">
      <w:bodyDiv w:val="1"/>
      <w:marLeft w:val="0"/>
      <w:marRight w:val="0"/>
      <w:marTop w:val="0"/>
      <w:marBottom w:val="0"/>
      <w:divBdr>
        <w:top w:val="none" w:sz="0" w:space="0" w:color="auto"/>
        <w:left w:val="none" w:sz="0" w:space="0" w:color="auto"/>
        <w:bottom w:val="none" w:sz="0" w:space="0" w:color="auto"/>
        <w:right w:val="none" w:sz="0" w:space="0" w:color="auto"/>
      </w:divBdr>
    </w:div>
    <w:div w:id="20858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32E62"/>
      </a:dk2>
      <a:lt2>
        <a:srgbClr val="EAE5EB"/>
      </a:lt2>
      <a:accent1>
        <a:srgbClr val="4A2249"/>
      </a:accent1>
      <a:accent2>
        <a:srgbClr val="632E62"/>
      </a:accent2>
      <a:accent3>
        <a:srgbClr val="6D1D6B"/>
      </a:accent3>
      <a:accent4>
        <a:srgbClr val="6D1D6B"/>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5527-F150-45EA-B2BE-3695FB33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Priručnik za posmatrače</dc:title>
  <dc:subject>lokalni izbori, 23.oktobar 2022.</dc:subject>
  <dc:creator/>
  <cp:keywords/>
  <dc:description/>
  <cp:lastModifiedBy>Jelena Tomić</cp:lastModifiedBy>
  <cp:revision>74</cp:revision>
  <dcterms:created xsi:type="dcterms:W3CDTF">2014-05-06T18:07:00Z</dcterms:created>
  <dcterms:modified xsi:type="dcterms:W3CDTF">2022-10-23T08:09:00Z</dcterms:modified>
</cp:coreProperties>
</file>