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STATUT NVO „CENTAR ZA DEMOKRATSKU TRANZICIJU“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(prečišć</w:t>
      </w:r>
      <w:r w:rsidRPr="006D1EC7">
        <w:rPr>
          <w:rFonts w:ascii="Calibri" w:hAnsi="Calibri" w:cs="Calibri"/>
          <w:b/>
        </w:rPr>
        <w:t xml:space="preserve">eni tekst; osnovni tekst usvojen je 20. decembra 2009. godine, a izmjene i dopune 24. decembra 2011., 09.07.2014. i </w:t>
      </w:r>
      <w:r w:rsidR="00FD4D51" w:rsidRPr="00FD4D51">
        <w:rPr>
          <w:rFonts w:ascii="Calibri" w:hAnsi="Calibri" w:cs="Calibri"/>
          <w:b/>
        </w:rPr>
        <w:t>12.03</w:t>
      </w:r>
      <w:r w:rsidRPr="00FD4D51">
        <w:rPr>
          <w:rFonts w:ascii="Calibri" w:hAnsi="Calibri" w:cs="Calibri"/>
          <w:b/>
        </w:rPr>
        <w:t>.2018. godine</w:t>
      </w:r>
      <w:r w:rsidRPr="006D1EC7">
        <w:rPr>
          <w:rFonts w:ascii="Calibri" w:hAnsi="Calibri" w:cs="Calibri"/>
          <w:b/>
        </w:rPr>
        <w:t>)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u w:val="single"/>
        </w:rPr>
      </w:pPr>
      <w:r w:rsidRPr="006D1EC7">
        <w:rPr>
          <w:rFonts w:ascii="Calibri" w:hAnsi="Calibri" w:cs="Calibri"/>
          <w:b/>
          <w:u w:val="single"/>
        </w:rPr>
        <w:t>I  OPŠTE ODREDBE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1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Ovim Statutom uređuje se naziv i sjedište organizacije, unutrašnja organizacija, organi upravljanja i kontrole, ciljevi i djelatnosti organizacije, način finansiranja, prestanak rada i raspolaganje imovinom i drugi odnosi od značaja za djelovanje i rad nevladine organizacije.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2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Centar za demokratsku tranziciju je nevladino udruženje (nevladina organizacija) osnovano 2000. godine, u skladu sa Zakonom o nevladinim organizacijama.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Udruženje je nestranačko, neprofitno i nezavisno.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Naziv i sjedište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3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Puni naziv nevladine organizacije glasi «Centar za demokratsku tranziciju» (u daljem tekstu: Centar), a skraćeni CDT.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Centar ima i svoj naziv na engleskom jeziku koji glasi Center for Democratic Transition - CDT.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4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Centar djeluje na području Crne Gore. Sjedište Centra je u Podgorici.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Znak i pečat Centra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5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lastRenderedPageBreak/>
        <w:t>Centar ima znak.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Znak čine stilizovana slova CDT i puni naziv Centra.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6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Centar ima pečat.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Pečat je okruglog oblika, u sredini pečata je znak CDT; po jednoj polovini ivice pečata ispisan je latiničnim pismom tekst koji glasi: Centar za demokratsku tranziciju, a na drugoj polovini: Center for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Democratic Transition.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Između naziva Centra na crnogorskom i engleskom jeziku u tekstualnom obliku iz stava 2 ovog člana ispisan je naziv: Podgorica.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Zastupanje Centra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7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Izvršni direktor/ica zastupa Centar i odgovara za zakonitost rada Centra.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Izvršni direktor/ica može posebnim ovlašćenjem odrediti drugo lice da privremeno zastupa Centar. 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Pravilnik o radu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8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Centar ima Pravilnik o radu kojim se detaljnije propisuju prava i obaveze zaposlenih, organa upravljanja, kao i članova Centra.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  <w:u w:val="single"/>
        </w:rPr>
      </w:pPr>
      <w:r w:rsidRPr="006D1EC7">
        <w:rPr>
          <w:rFonts w:ascii="Calibri" w:hAnsi="Calibri" w:cs="Calibri"/>
          <w:b/>
          <w:u w:val="single"/>
        </w:rPr>
        <w:t>II  CILJEVI I DJELATNOST CENTRA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Misija i ciljevi Centra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9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lastRenderedPageBreak/>
        <w:t>Centar je NVO koja radi na stvaranju političkih i drugih uslova za izgradnju građanskog društva, društva znanja i jednakih šansi, kroz promociju demokratskih vrijednosti i tekovina.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Centar podržava različite vidove samoorganizovanja građana, čiji je cilj ispunjenje njegove misije. To uključuje i doprinos:</w:t>
      </w:r>
    </w:p>
    <w:p w:rsidR="006D1EC7" w:rsidRPr="006D1EC7" w:rsidRDefault="006D1EC7" w:rsidP="006D1E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reformi izbornog zakonodavstva</w:t>
      </w:r>
    </w:p>
    <w:p w:rsidR="006D1EC7" w:rsidRPr="006D1EC7" w:rsidRDefault="006D1EC7" w:rsidP="006D1E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razvoju izbornih procesa</w:t>
      </w:r>
    </w:p>
    <w:p w:rsidR="006D1EC7" w:rsidRPr="006D1EC7" w:rsidRDefault="006D1EC7" w:rsidP="006D1E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razvoju parlamentarnih procedura i praksi</w:t>
      </w:r>
    </w:p>
    <w:p w:rsidR="006D1EC7" w:rsidRPr="006D1EC7" w:rsidRDefault="006D1EC7" w:rsidP="006D1E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integracionim procesima Crne Gore</w:t>
      </w:r>
    </w:p>
    <w:p w:rsidR="006D1EC7" w:rsidRPr="006D1EC7" w:rsidRDefault="006D1EC7" w:rsidP="006D1E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afirmaciji otvorenosti i transparentnosti procesa i institucija</w:t>
      </w:r>
    </w:p>
    <w:p w:rsidR="006D1EC7" w:rsidRPr="006D1EC7" w:rsidRDefault="006D1EC7" w:rsidP="006D1E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reformi javne uprave</w:t>
      </w:r>
    </w:p>
    <w:p w:rsidR="006D1EC7" w:rsidRPr="006D1EC7" w:rsidRDefault="006D1EC7" w:rsidP="006D1E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borbi protiv korupcije i organizovanog kriminala</w:t>
      </w:r>
    </w:p>
    <w:p w:rsidR="006D1EC7" w:rsidRPr="006D1EC7" w:rsidRDefault="006D1EC7" w:rsidP="006D1E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reformi pravosudnog sistema</w:t>
      </w:r>
    </w:p>
    <w:p w:rsidR="006D1EC7" w:rsidRPr="006D1EC7" w:rsidRDefault="006D1EC7" w:rsidP="006D1E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zaštiti i promociji ljudskih, građanskih, ekonomskih i socijalnih prava građana/ki</w:t>
      </w:r>
    </w:p>
    <w:p w:rsidR="006D1EC7" w:rsidRPr="006D1EC7" w:rsidRDefault="006D1EC7" w:rsidP="006D1E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razvoju medijskih sloboda i medijskog pluralizma</w:t>
      </w:r>
    </w:p>
    <w:p w:rsidR="006D1EC7" w:rsidRPr="006D1EC7" w:rsidRDefault="006D1EC7" w:rsidP="006D1E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jačanju demokratskih i administrativnih kapaciteta državnih institucija</w:t>
      </w:r>
    </w:p>
    <w:p w:rsidR="006D1EC7" w:rsidRPr="006D1EC7" w:rsidRDefault="006D1EC7" w:rsidP="006D1E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kvalitetnijem učešću građana u procesima donošenja odluka</w:t>
      </w:r>
    </w:p>
    <w:p w:rsidR="006D1EC7" w:rsidRPr="006D1EC7" w:rsidRDefault="006D1EC7" w:rsidP="006D1E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razvoju demokratskog društva</w:t>
      </w:r>
    </w:p>
    <w:p w:rsidR="006D1EC7" w:rsidRPr="006D1EC7" w:rsidRDefault="006D1EC7" w:rsidP="006D1E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razvoju saradnje civilnog društva sa svim važnim činiocima u državi</w:t>
      </w:r>
    </w:p>
    <w:p w:rsidR="006D1EC7" w:rsidRPr="006D1EC7" w:rsidRDefault="006D1EC7" w:rsidP="006D1E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reformi sektora bezbjednosti i procesima regionalne i globalne bezbjednosne saradnje</w:t>
      </w:r>
    </w:p>
    <w:p w:rsidR="006D1EC7" w:rsidRPr="006D1EC7" w:rsidRDefault="006D1EC7" w:rsidP="006D1E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borbi protiv radikalizma i ekstremizma</w:t>
      </w:r>
    </w:p>
    <w:p w:rsidR="006D1EC7" w:rsidRPr="006D1EC7" w:rsidRDefault="006D1EC7" w:rsidP="006D1E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razvoju statističkog sistema</w:t>
      </w:r>
    </w:p>
    <w:p w:rsidR="006D1EC7" w:rsidRPr="006D1EC7" w:rsidRDefault="006D1EC7" w:rsidP="006D1E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afirmisanju principa održivog razvoja</w:t>
      </w:r>
    </w:p>
    <w:p w:rsidR="006D1EC7" w:rsidRPr="006D1EC7" w:rsidRDefault="006D1EC7" w:rsidP="006D1E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razvoju socijalnog/neprofitnog preduzetništva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Djelatnosti Centra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10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 svrhu ostvarenja ciljeva propisanih članom 9 ovog statuta, Centar će obavljati sljedede djelatnosti:</w:t>
      </w:r>
    </w:p>
    <w:p w:rsidR="006D1EC7" w:rsidRPr="006D1EC7" w:rsidRDefault="006D1EC7" w:rsidP="006D1EC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praćenje rada institucija zakonodavne vlasti, predstavničkih i izvršnih tijela na svim nivoima, </w:t>
      </w:r>
    </w:p>
    <w:p w:rsidR="006D1EC7" w:rsidRPr="006D1EC7" w:rsidRDefault="006D1EC7" w:rsidP="006D1EC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praćenje, nadgledanje i unapređivanje izbornog procesa, </w:t>
      </w:r>
    </w:p>
    <w:p w:rsidR="006D1EC7" w:rsidRPr="006D1EC7" w:rsidRDefault="006D1EC7" w:rsidP="006D1EC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zagovaranje za donošenje, unapređenje i primjenu zakonskih i podzakonskih propisa, </w:t>
      </w:r>
    </w:p>
    <w:p w:rsidR="006D1EC7" w:rsidRPr="006D1EC7" w:rsidRDefault="006D1EC7" w:rsidP="006D1EC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organizovanje i sprovođenje edukativnih i informativnih kampanja, radionica, seminara i tribina, </w:t>
      </w:r>
    </w:p>
    <w:p w:rsidR="006D1EC7" w:rsidRPr="006D1EC7" w:rsidRDefault="006D1EC7" w:rsidP="006D1EC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organizovanje okruglih stolova, konferencija za novinare, susreta i priredbi, </w:t>
      </w:r>
    </w:p>
    <w:p w:rsidR="006D1EC7" w:rsidRPr="006D1EC7" w:rsidRDefault="006D1EC7" w:rsidP="006D1EC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obavljanje izdavačke i medijske djelatnosti, u skladu sa posebnim propisima, </w:t>
      </w:r>
    </w:p>
    <w:p w:rsidR="006D1EC7" w:rsidRPr="006D1EC7" w:rsidRDefault="006D1EC7" w:rsidP="006D1EC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istraživanje javnog mnjenja, 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razvijanje finansijskih i informaciono-komunikacionih rješenja, u skladu sa ostalim aktivnostima, </w:t>
      </w:r>
    </w:p>
    <w:p w:rsidR="006D1EC7" w:rsidRPr="006D1EC7" w:rsidRDefault="006D1EC7" w:rsidP="006D1EC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kreiranje, uređivanje i održavanje veb portala, </w:t>
      </w:r>
    </w:p>
    <w:p w:rsidR="006D1EC7" w:rsidRPr="006D1EC7" w:rsidRDefault="006D1EC7" w:rsidP="006D1EC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saradnja sa organizacijama u zemlji i inostranstvu, </w:t>
      </w:r>
    </w:p>
    <w:p w:rsidR="006D1EC7" w:rsidRPr="006D1EC7" w:rsidRDefault="006D1EC7" w:rsidP="006D1EC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učestvovanje na domaćim i međunarodnim skupovima i seminarima. 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Rad organizacije odvija se kroz projekte i programe koje Centar sprovodi uz neposrednu pomoć svojih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članova i članica.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  <w:u w:val="single"/>
        </w:rPr>
      </w:pPr>
      <w:r w:rsidRPr="006D1EC7">
        <w:rPr>
          <w:rFonts w:ascii="Calibri" w:hAnsi="Calibri" w:cs="Calibri"/>
          <w:b/>
          <w:u w:val="single"/>
        </w:rPr>
        <w:t>III  JAVNOST RADA CENTRA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lastRenderedPageBreak/>
        <w:t>Član 11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Rad Centra je javan.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Centar ostvaruje javnost rada putem Internet stranice, Godišnjeg izvještaja o radu, promotivnih materijala i medija.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Centar obavještava članove/ice o svom radu na sjednicama Skupštine, a između zasijedanja putem Internet stranica i mailing liste članova Centra.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 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  <w:u w:val="single"/>
        </w:rPr>
      </w:pPr>
      <w:r w:rsidRPr="006D1EC7">
        <w:rPr>
          <w:rFonts w:ascii="Calibri" w:hAnsi="Calibri" w:cs="Calibri"/>
          <w:b/>
          <w:u w:val="single"/>
        </w:rPr>
        <w:t>IV  ČLANSTVO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Pripadnost Centru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12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Članom/icom Centra može postati svako fizičko lice koje ispunjava sljedeće uslove:</w:t>
      </w:r>
    </w:p>
    <w:p w:rsidR="006D1EC7" w:rsidRPr="006D1EC7" w:rsidRDefault="006D1EC7" w:rsidP="006D1EC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da je najmanje godinu dana sarađivao/la sa Centrom i da poštuje misiju, ciljeve i djelatnost Centra, </w:t>
      </w:r>
    </w:p>
    <w:p w:rsidR="006D1EC7" w:rsidRPr="006D1EC7" w:rsidRDefault="006D1EC7" w:rsidP="006D1EC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da nije funkcioner/ka ili aktivan član/ica ni jedne političke stranke, </w:t>
      </w:r>
    </w:p>
    <w:p w:rsidR="006D1EC7" w:rsidRPr="006D1EC7" w:rsidRDefault="006D1EC7" w:rsidP="006D1EC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da je najmanje jednom u toku kalendarske godine bio uključen u rad Centra.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Lice koja ispunjava uslove iz stava 1 tač. a, b i c  ovog člana, upuduje lični zahtjev za članstvo u Centru Upravnom odboru.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Zahtjev mora sadržavati obrazloženje i dokaz ispunjenosti uslova iz stava 1 tač. a, b i c ovog člana. Upravni odbor, u roku od dva mjeseca od prijema zahtjeva, a nakon savjetovanja sa Izvršnim odborom, donosi odluku o prijemu u članstvo ili odlukom odbija zahtjev za članstvo.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Izuzetno, članovi/ice Upravnog odbora su po automatizmu članovi/ice Centra.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13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Centar vodi popis članova/ica i evidenciju o ispunjavanju uslova iz člana 12 ovog statuta. Popis članova/ica vodi lice koju ovlasti Izvršni odbor.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lastRenderedPageBreak/>
        <w:t>Prava, obaveze i prestanak članstva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14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Prava i obaveze svih članova/ica su:</w:t>
      </w:r>
    </w:p>
    <w:p w:rsidR="006D1EC7" w:rsidRPr="006D1EC7" w:rsidRDefault="006D1EC7" w:rsidP="006D1EC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da učestvuju u radu Centra i pružaju pomoć, </w:t>
      </w:r>
    </w:p>
    <w:p w:rsidR="006D1EC7" w:rsidRPr="006D1EC7" w:rsidRDefault="006D1EC7" w:rsidP="006D1EC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da prisustvuju sjednicama Skupštine, </w:t>
      </w:r>
    </w:p>
    <w:p w:rsidR="006D1EC7" w:rsidRPr="006D1EC7" w:rsidRDefault="006D1EC7" w:rsidP="006D1EC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da svojim radom u Centru i van Centra doprinose njegovom ugledu, </w:t>
      </w:r>
    </w:p>
    <w:p w:rsidR="006D1EC7" w:rsidRPr="006D1EC7" w:rsidRDefault="006D1EC7" w:rsidP="006D1EC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da daju mišljenja i predloge, </w:t>
      </w:r>
    </w:p>
    <w:p w:rsidR="006D1EC7" w:rsidRPr="006D1EC7" w:rsidRDefault="006D1EC7" w:rsidP="006D1EC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da poštuju odredbe zakona, Statuta i ostalih akata Centra, </w:t>
      </w:r>
    </w:p>
    <w:p w:rsidR="006D1EC7" w:rsidRPr="006D1EC7" w:rsidRDefault="006D1EC7" w:rsidP="006D1EC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da biraju i budu birani u organe Centra u skladu sa Statutom, </w:t>
      </w:r>
    </w:p>
    <w:p w:rsidR="006D1EC7" w:rsidRPr="006D1EC7" w:rsidRDefault="006D1EC7" w:rsidP="006D1EC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da najmanje jednom u toku kalendarske godine budu uključeni u rad Centra.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15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Članstvo u Centru prestaje:</w:t>
      </w:r>
    </w:p>
    <w:p w:rsidR="006D1EC7" w:rsidRPr="006D1EC7" w:rsidRDefault="006D1EC7" w:rsidP="006D1EC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pismenom izjavom o istupanju iz članstva, </w:t>
      </w:r>
    </w:p>
    <w:p w:rsidR="006D1EC7" w:rsidRPr="006D1EC7" w:rsidRDefault="006D1EC7" w:rsidP="006D1EC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prestankom uslova za članstvo, </w:t>
      </w:r>
    </w:p>
    <w:p w:rsidR="006D1EC7" w:rsidRPr="006D1EC7" w:rsidRDefault="006D1EC7" w:rsidP="006D1EC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isključenjem, ukoliko svojim djelovanjem i istupanjima našteti ugledu Centra. </w:t>
      </w:r>
    </w:p>
    <w:p w:rsidR="006D1EC7" w:rsidRPr="006D1EC7" w:rsidRDefault="006D1EC7" w:rsidP="006D1EC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 slučaju sukoba interesa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Zahtjev za prestanak članstva iz stava 1 tačka a ovog člana podnosi Upravnom odboru član/ica lično. Zahtjev za prestanak članstva iz stava 1 tačka b ovog člana, podnosi Uppravnom odboru Izvršni odbor na osnovu evidencije članstva.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Zahtjev za prestanak članstva iz stava 1 tačka c ovog člana, podnosi Upravnom odboru najmanje 1/3 članova Centra.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Zahtjev za prestanak članstva iz stava 1 tačka d ovog člana podnosi Upravnom odboru predsjednik Izvršnog odbora.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Sve zahtjeve Upravni odbor razmatra na prvoj sljedećoj sjednici uz pribavljeno mišljenje Izvršnog odbora.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Članstvo prestaje odlukom Upravnog odbora.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  <w:u w:val="single"/>
        </w:rPr>
      </w:pPr>
      <w:r w:rsidRPr="006D1EC7">
        <w:rPr>
          <w:rFonts w:ascii="Calibri" w:hAnsi="Calibri" w:cs="Calibri"/>
          <w:b/>
          <w:u w:val="single"/>
        </w:rPr>
        <w:t xml:space="preserve">V  UDRUŽIVANJE I TERITORIJALNA ORGANIZACIJA RADACENTRA 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16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Centar se može povezivati i učlanjivati u domaće i međunarodne saveze, asocijacije ili institucije. Odluku o učlanjivanju u saveze, asocijacije ili institucije iz stava 1 ovog člana, donosi Izvršni odbor uz konsultacije sa Upravnim odborom.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17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Centar moze osnovati regionalne kancelarije koje nemaju svojstvo pravnog lica.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Unutrašnja organizacija, nadležnost, kao i ostala prava i obaveze regionalnih kancelarija regulišu se Pravilnikom o radu regionalnih kancelarija, koji je u skladu sa zakonom, Statutom i drugim aktima Centra.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Odluku o osnivanju regionalnih kancelarija donosi Upravni odbor.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  <w:u w:val="single"/>
        </w:rPr>
      </w:pPr>
      <w:r w:rsidRPr="006D1EC7">
        <w:rPr>
          <w:rFonts w:ascii="Calibri" w:hAnsi="Calibri" w:cs="Calibri"/>
          <w:b/>
          <w:u w:val="single"/>
        </w:rPr>
        <w:t>VI  UPRAVLJANJE CENTROM I ORGANI CENTRA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18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Upravljanje Centrom povjereno je Skupštini i izvršnom direktoru, kao organima upravljanja Centra. Radi efikasnijeg upravljanja poslovima u vezi sa sprovođenjem plana rada i razvoja Centra, Skupština formira Upravni odbor.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rPr>
          <w:rFonts w:ascii="Calibri" w:hAnsi="Calibri" w:cs="Calibri"/>
          <w:b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Drugi organi Centra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19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 cilju efikasnijeg izvršavanja poslova kojima se ostvaruju ciljevi i djelatnost Centra, formira se Izvršni odbor.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lastRenderedPageBreak/>
        <w:t>Članstvo u organima Centra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19a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Skupštinu čine svi članovi/ice Centra.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Izvršni odbor, na čelu sa izvršnim direktorom Centra, bira se iz redova članova Centra koji su angažovani u Centru, u skladu sa ovim statutom.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 Upravni odbor mogu biti birani članovi Centra, kao i lica koja nisu članovi Centra, u skladu sa ovim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Statutom.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Jedno lice ne može biti član više od jednog odbora.</w:t>
      </w:r>
    </w:p>
    <w:p w:rsidR="006D1EC7" w:rsidRPr="006D1EC7" w:rsidRDefault="006D1EC7" w:rsidP="006D1EC7">
      <w:pPr>
        <w:spacing w:after="0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a)Skupština centra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20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Skupština Centra je najviši organ Centra. Skupštinu čine svi članovi/ice Centra.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Skupština može donijeti Poslovnik o radu Skupštine.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Sjednice Skupštine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21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Skupština radi u sjednicama.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Sjednice Skupštine mogu biti redovne i vanredne.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Redovna sjednica se održava jednom godišnje, i to u periodu od 1. aprila do 15. maja.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22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Sjednice Skupštine saziva i vodi predsjednik/ica Upravnog odbora, a u slučaju spriječenosti zamjenik/ica.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Skupština se saziva najkasnije 15 dana prije održavanja pismenim pozivom svakom članu/ici.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lastRenderedPageBreak/>
        <w:t>Poziv sadrži predlog dnevnog reda, a za izborne sjednice Skupštine članovima/icama se šalje poziv za isticanje kandidatura.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Predsjedavajući je dužan utvrditi kvorum, i osigurati sve relevantne materijale potrebne za uspješan rad Skupštine.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23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Rad sjednice Skupštine je javan.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Izuzetno, javnost se može isključiti odlukom 2/3 prisutnih članova Skupštine.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24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O radu Skupštine se vodi zapisnik.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Skupština de između prisutnih članova/ica izabrati zapisničara/ku i dva lica kao ovjerioce zapisnika.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Vanredna sjednica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25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Vanrednu sjednicu Skupstine saziva predsjednik/ica Upravnog odbora.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Sazivanje vanredne sjednice Skupštine može da zatraži 1/2 članova/ica Skupštine, Upravni ili Izvršni odbor.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Ukoliko predsjednik/ica Upravnog odbora ne sazove vanrednu sjednicu u roku od 30 dana od dana podnošenja zahtjeva, tada 1/2 članova/ica ili Upravni odbor mogu sami sazvati Skupštinu.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Ukoliko Skupštinu inicira 1/2 članova/ica, dužni su opunomoćiti lice koje de sjednicu sazvati i predsjedavati Skupštinom.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Vanredna sjednica Skupštine može se u hitnim slučajevima održati primjenom sredstava elektronske komunikacije (npr. korišdenje mailing liste članova i sl).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Odlučivanje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lastRenderedPageBreak/>
        <w:t>Član 26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Skupština može odlučivati jedino ako je prisutna većina članova/ica. Skupština donosi odluke prostom većinom prisutnih članova/ica.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Izuzetno, odluka o promjeni Statuta donosi se apsolutnom većinom prisutnih članova/ica, a odluka o prestanku rada Centra dvotrećinskom vedinom svih članova/ica.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27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Glasanje je javno.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Skupština može odlučiti da se za pojedina pitanja sprovede tajno glasanje.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Djelokrug rada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28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Skupština:</w:t>
      </w:r>
    </w:p>
    <w:p w:rsidR="006D1EC7" w:rsidRPr="006D1EC7" w:rsidRDefault="006D1EC7" w:rsidP="006D1EC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donosi Statut, </w:t>
      </w:r>
    </w:p>
    <w:p w:rsidR="006D1EC7" w:rsidRPr="006D1EC7" w:rsidRDefault="006D1EC7" w:rsidP="006D1EC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odlučuje o promjeni cilja i djelatnosti Centra, </w:t>
      </w:r>
    </w:p>
    <w:p w:rsidR="006D1EC7" w:rsidRPr="006D1EC7" w:rsidRDefault="006D1EC7" w:rsidP="006D1EC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odlučuje o prestanku rada i raspodjeli preostale imovine Centra, </w:t>
      </w:r>
    </w:p>
    <w:p w:rsidR="006D1EC7" w:rsidRPr="006D1EC7" w:rsidRDefault="006D1EC7" w:rsidP="006D1EC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usvaja plan rada i razvoja Centra, </w:t>
      </w:r>
    </w:p>
    <w:p w:rsidR="006D1EC7" w:rsidRPr="006D1EC7" w:rsidRDefault="006D1EC7" w:rsidP="006D1EC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usvaja godišnji izvještaj o radu Centra, </w:t>
      </w:r>
    </w:p>
    <w:p w:rsidR="006D1EC7" w:rsidRPr="006D1EC7" w:rsidRDefault="006D1EC7" w:rsidP="006D1EC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usvaja godišnji finansijski izvještaj Centra, </w:t>
      </w:r>
    </w:p>
    <w:p w:rsidR="006D1EC7" w:rsidRPr="006D1EC7" w:rsidRDefault="006D1EC7" w:rsidP="006D1EC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bira članove Upravnog odbora, </w:t>
      </w:r>
    </w:p>
    <w:p w:rsidR="006D1EC7" w:rsidRPr="006D1EC7" w:rsidRDefault="006D1EC7" w:rsidP="006D1EC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donosi akte za čije donošenje ovim statutom nije propisana nadležnost drugog organa Centra, </w:t>
      </w:r>
    </w:p>
    <w:p w:rsidR="006D1EC7" w:rsidRPr="006D1EC7" w:rsidRDefault="006D1EC7" w:rsidP="006D1EC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vrši i druge poslove potrebne za ostvarenje ciljeva i djelatnosti Centra, ako ovim statutom nije drugačije određeno. 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 xml:space="preserve">b) Upravni odbor 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Mandat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lastRenderedPageBreak/>
        <w:t>Član 29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Upravni odbor stara se o upravljanju poslovima kojima se obezbjeđuje efikasno sprovođenje plana rada i razvoja Centra, odnosno uspješno ostvarivanje aktivnosti u vezi sa ciljevima i djelatnošdu Centra. Članove/ice Upravnog odbora bira Skupština na mandat od dvije godine.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Upravni odbor ima pet članova/ica.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Kandidatura i izbor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30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Kandidati/kinje za članove/ice Upravnog odbora ne mogu biti lica koja su funkcioneri/ke i/ili istaknuti članovi/ice političkih partija.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31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Kandidature za članstvo u Upravnom odboru podnose se Skupštini pismenim putem najkasnije 72 sata prije održavanja Skupštine.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Kandidatura treba da sadrži kratku biografiju kandidata/kinje i obrazloženje o kandidaturi. Kandidaturu podnosi kandidat/kinja lično ukoliko je član/ica Centra ili najmanje 5 članova/ica u ime kandidata/kinje koji/koja nije član/ica Centra.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32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Izbor članova/ica Upravnog odbora vrši se glasanjem članova/ica Skupstine o svakom članu/ici koji/koja je podnio/la kandidaturu pojedinačno.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 Upravni odbor su izabrani kandidati/kinje koji/je su osvojili/le najveci broj glasova.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33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 slučaju da dva/dvoje/dvije kandidata/kinje za posljednje mjesto u Upravnom odboru dobiju jednak broj glasova, održade se drugi krug izbora.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lastRenderedPageBreak/>
        <w:t>Ukoliko i u drugom krugu izbora isti/iste kandidati/kinje dobiju jednak broj glasova, oba/oboje/obje kandidata/kinje smatrade se izabranima u Upravni odbor, a svoju de dužnost obavljati po modelu rotacije, pri čemu de svaki/a biti članom/icom Upravnog odbora godinu dana. 8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34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Upravni odbor je dužan da održi svoju konstitutivnu sjednicu najkasnije 8 dana nakon Skupštine na kojoj je izabran.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Članovi/ice Upravnog odbora na konstitutivnoj sjednici među sobom biraju predsjednika/icu i zamjenika/icu.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Članovi/ice s rotirajudim mandatom ne mogu biti izabrani za predsjednika/icu Upravnog odbora. Predsjednik/ica Upravnog odbora vrši funkciju predsjednika/ice Centra.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Predsjednik/ica Upravnog odbora saziva i vodi sjednice Upravnog odbora, predstavlja Upravni odbor pred Skupštinom, Izvršnim odborom i izvještava Skupštinu o radu Upravnog odbora.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 slučaju spriječenosti predsjednika/ice Upravnog odbora, zamjenik/ica predsjednika/ice saziva i vodi sjednice Upravnog odbora i predstavlja Upravni odbor pred organima Centra.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Djelokrug rada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35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Upravni odbor:</w:t>
      </w:r>
    </w:p>
    <w:p w:rsidR="006D1EC7" w:rsidRPr="006D1EC7" w:rsidRDefault="006D1EC7" w:rsidP="006D1EC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podnosi Skupštini plan rada i razvoja Centra na usvajanje, </w:t>
      </w:r>
    </w:p>
    <w:p w:rsidR="006D1EC7" w:rsidRPr="006D1EC7" w:rsidRDefault="006D1EC7" w:rsidP="006D1EC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donosi strateške odluke, u cilju sprovođenja plana rada i razvoja Centra, </w:t>
      </w:r>
    </w:p>
    <w:p w:rsidR="006D1EC7" w:rsidRPr="006D1EC7" w:rsidRDefault="006D1EC7" w:rsidP="006D1EC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odlučuje o formiranju radnih tijela Centra, </w:t>
      </w:r>
    </w:p>
    <w:p w:rsidR="006D1EC7" w:rsidRPr="006D1EC7" w:rsidRDefault="006D1EC7" w:rsidP="006D1EC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podnosi Skupštini godišnji izvještaj o radu Centra, </w:t>
      </w:r>
    </w:p>
    <w:p w:rsidR="006D1EC7" w:rsidRPr="006D1EC7" w:rsidRDefault="006D1EC7" w:rsidP="006D1EC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lastRenderedPageBreak/>
        <w:t xml:space="preserve">podnosi Skupštini godišnji finansijski izvještaj Centra, </w:t>
      </w:r>
    </w:p>
    <w:p w:rsidR="006D1EC7" w:rsidRPr="006D1EC7" w:rsidRDefault="006D1EC7" w:rsidP="006D1EC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donosi Pravilnik o radu Centra, </w:t>
      </w:r>
    </w:p>
    <w:p w:rsidR="006D1EC7" w:rsidRPr="006D1EC7" w:rsidRDefault="006D1EC7" w:rsidP="006D1EC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donosi Pravilnik o radu regionalnih kancelarija, </w:t>
      </w:r>
    </w:p>
    <w:p w:rsidR="006D1EC7" w:rsidRPr="006D1EC7" w:rsidRDefault="006D1EC7" w:rsidP="006D1EC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vrši i druge posle u vezi sa ostvarivanjem ciljeva Centra, ukoliko ovim statutom nije drugačije određeno. 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35a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Pored djelokruga rada iz člana 35 Upravni odbor:</w:t>
      </w:r>
    </w:p>
    <w:p w:rsidR="006D1EC7" w:rsidRPr="006D1EC7" w:rsidRDefault="006D1EC7" w:rsidP="006D1EC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nadzire poslovanje i racionalnu i svrsishodnu upotrebu imovine i finansijskih sredstava Centra,</w:t>
      </w:r>
    </w:p>
    <w:p w:rsidR="006D1EC7" w:rsidRPr="006D1EC7" w:rsidRDefault="006D1EC7" w:rsidP="006D1EC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nadzire primjenu Statuta Centra,</w:t>
      </w:r>
    </w:p>
    <w:p w:rsidR="006D1EC7" w:rsidRPr="006D1EC7" w:rsidRDefault="006D1EC7" w:rsidP="006D1EC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daje tumačenje Statuta Centra,</w:t>
      </w:r>
    </w:p>
    <w:p w:rsidR="006D1EC7" w:rsidRPr="006D1EC7" w:rsidRDefault="006D1EC7" w:rsidP="006D1EC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daje mišljenja, savjete i preporuke u vezi sa predmetima sukoba interesa i predmetima utvrđivanja nadležnosti organa Centra,</w:t>
      </w:r>
    </w:p>
    <w:p w:rsidR="006D1EC7" w:rsidRPr="006D1EC7" w:rsidRDefault="006D1EC7" w:rsidP="006D1EC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nadzire izvršavanje odluka Skupštine Centra i Izvršnog odbora,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36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 svom radu Upravni odbor odgovara Skupštini odboru.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Članovi/ice Upravnog odbora ravnopravno predstavljaju i promovišu Centar u zemlji i inostranstvu i unapređuju rad Centra. 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37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Članovi/ice Upravnog odbora dužni su najkasnije u roku od 10 dana nakon izbora imenovati kandidata/kinju za predsjednika/cu Izvršnog odbora.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Nakon imenovanja, kandidat/kinja za predsjednika/cu Izvršnog odbora predlaže Upravnom odboru članove/ice Izvršnog odbora.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Upravni odbor glasa o Izvršnom odboru u cjelini. 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Sjednice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38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Sjednice Upravnog odbora održavaju se najmanje jednom mjesečno i mora im prisustvovati vedina članova/ica Upravnog odbora.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Upravni odbor odluke donosi prostom vedinom svih članova/ica.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Sjednicama Upravnog odbora uvijek prisustvuje najmanje jedan član/ica Izvršnog odbora bez prava glasa.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Upravni odbor je dužan da nakon sjednice dostavi zapisnik sa sjednice Izvršnom odboru. Svaki/a član/ica Centra može tražiti od Izvršnog odbora zapisnike sa sjednica Upravnog odbora.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Prestanak mandata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39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Članu/ici Upravnog odbora može prestati mandat prije isteka vremena na koje je biran/a:</w:t>
      </w:r>
    </w:p>
    <w:p w:rsidR="006D1EC7" w:rsidRPr="006D1EC7" w:rsidRDefault="006D1EC7" w:rsidP="006D1EC7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na lični zahtjev, </w:t>
      </w:r>
    </w:p>
    <w:p w:rsidR="006D1EC7" w:rsidRPr="006D1EC7" w:rsidRDefault="006D1EC7" w:rsidP="006D1EC7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opozivom. 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40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Do opoziva člana/ice Upravnog odbora može dodi zbog:</w:t>
      </w:r>
    </w:p>
    <w:p w:rsidR="006D1EC7" w:rsidRPr="006D1EC7" w:rsidRDefault="006D1EC7" w:rsidP="006D1EC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težih povreda odredaba Statuta i Pravilnika o radu, </w:t>
      </w:r>
    </w:p>
    <w:p w:rsidR="006D1EC7" w:rsidRPr="006D1EC7" w:rsidRDefault="006D1EC7" w:rsidP="006D1EC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zloupotrebe položaja i nanošenja štete ugledu Centra, </w:t>
      </w:r>
    </w:p>
    <w:p w:rsidR="006D1EC7" w:rsidRPr="006D1EC7" w:rsidRDefault="006D1EC7" w:rsidP="006D1EC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zbog nesavjesnog i neodgovornog obavljanja svoje dužnosti, </w:t>
      </w:r>
    </w:p>
    <w:p w:rsidR="006D1EC7" w:rsidRPr="006D1EC7" w:rsidRDefault="006D1EC7" w:rsidP="006D1EC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u slučaju neobavljanja dužnosti duže od 6 mjeseci. </w:t>
      </w:r>
    </w:p>
    <w:p w:rsidR="006D1EC7" w:rsidRPr="006D1EC7" w:rsidRDefault="006D1EC7" w:rsidP="006D1EC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lastRenderedPageBreak/>
        <w:t>u slučaju sukoba interesa.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Člana/icu Upravnog odbora opoziva Skupština na predlog Upravnog odbora ili najmanje 1/3 članova/ica Centra.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41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 slučaju prestanka mandata članu/ici Upravnog odbora, sprovodi se postupak izbora novog člana/ice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Upravnog odbora za preostali dio mandata.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c) Izvršni odbor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Mandat i izbor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42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Izvršni odbor stara se o radu Centra na operativnom nivou i donosi odluke u svrhu razvoja i dobrobiti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Centra.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Broj članova/ica Izvršnog odbora je četiri.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Članove/ice Izvršnog odbora bira Upravni odbor na rok od dvije godine.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43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Radom Izvršnog odbora rukovodi izvršni direktor Centra. Izvršni direktor imenuje zamjenika.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44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Kandidat/kinja za predsjednika/cu Izvršnog odbora, imenovan/a od strane Upravnog odbora, dužan/na je da, najkasnije u roku od 10 dana nakon imenovanja, Upravnom odboru predloži članove/ice Izvršnog 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odbora i godišnji plan rada i razvoja, uvažavajuci dotadašnje aktivnosti, rezultate i stepen razvoja organizacije.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lastRenderedPageBreak/>
        <w:t>Upravni odbor glasa za Izvršni odbor u cjelini.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Neposredno nakon imenovanja, Izvršni odbor dužan je predočiti plan rada i razvoja članstvu.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45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Članovi/ice Izvršnog odbora moraju ispunjavati sljedede uslove:</w:t>
      </w:r>
    </w:p>
    <w:p w:rsidR="006D1EC7" w:rsidRPr="006D1EC7" w:rsidRDefault="006D1EC7" w:rsidP="006D1EC7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da su angažovani/ne u Centru </w:t>
      </w:r>
    </w:p>
    <w:p w:rsidR="006D1EC7" w:rsidRPr="006D1EC7" w:rsidRDefault="006D1EC7" w:rsidP="006D1EC7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da imaju najmanje dvije godine radnog iskustva u Centru, </w:t>
      </w:r>
    </w:p>
    <w:p w:rsidR="006D1EC7" w:rsidRPr="006D1EC7" w:rsidRDefault="006D1EC7" w:rsidP="006D1EC7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da nisu članovi/ice niti jedne političke stranke. 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Djelokrug rada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46</w:t>
      </w:r>
    </w:p>
    <w:p w:rsidR="006D1EC7" w:rsidRPr="006D1EC7" w:rsidRDefault="009D4A98" w:rsidP="006D1EC7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Izvrš</w:t>
      </w:r>
      <w:r w:rsidR="006D1EC7" w:rsidRPr="006D1EC7">
        <w:rPr>
          <w:rFonts w:ascii="Calibri" w:hAnsi="Calibri" w:cs="Calibri"/>
        </w:rPr>
        <w:t>ni odbor:</w:t>
      </w:r>
    </w:p>
    <w:p w:rsidR="006D1EC7" w:rsidRPr="006D1EC7" w:rsidRDefault="006D1EC7" w:rsidP="006D1EC7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rukovodi Centrom u skladu sa zakonom, Statutom i drugim aktima Centra, kao i odlukama  Skupštine i Upravnog odbora, </w:t>
      </w:r>
    </w:p>
    <w:p w:rsidR="006D1EC7" w:rsidRPr="006D1EC7" w:rsidRDefault="006D1EC7" w:rsidP="006D1EC7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stara se o imovini, prikupljanju i upotrebi finansijskih sredstava Centra, </w:t>
      </w:r>
    </w:p>
    <w:p w:rsidR="006D1EC7" w:rsidRPr="006D1EC7" w:rsidRDefault="006D1EC7" w:rsidP="006D1EC7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predlaže Upravnom odboru plan rada i razvoja Centra, </w:t>
      </w:r>
    </w:p>
    <w:p w:rsidR="006D1EC7" w:rsidRPr="006D1EC7" w:rsidRDefault="006D1EC7" w:rsidP="006D1EC7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predlaže Upravnom odboru godišnji izvještaj o radu Centra, </w:t>
      </w:r>
    </w:p>
    <w:p w:rsidR="006D1EC7" w:rsidRPr="006D1EC7" w:rsidRDefault="006D1EC7" w:rsidP="006D1EC7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predlaže Upravnom odboru godišnji finansijski izvještaj Centra, </w:t>
      </w:r>
    </w:p>
    <w:p w:rsidR="006D1EC7" w:rsidRPr="006D1EC7" w:rsidRDefault="006D1EC7" w:rsidP="006D1EC7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donosi odluku o zapošljavanju lica u Centru, uz prethodno informisanje Upravnog odbora, </w:t>
      </w:r>
    </w:p>
    <w:p w:rsidR="006D1EC7" w:rsidRPr="006D1EC7" w:rsidRDefault="006D1EC7" w:rsidP="006D1EC7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imenuje Generalnog sekretara Centra, </w:t>
      </w:r>
    </w:p>
    <w:p w:rsidR="006D1EC7" w:rsidRPr="006D1EC7" w:rsidRDefault="006D1EC7" w:rsidP="006D1EC7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imenuje učesnike u međunarodnim aktivnostima Centra, </w:t>
      </w:r>
    </w:p>
    <w:p w:rsidR="006D1EC7" w:rsidRPr="006D1EC7" w:rsidRDefault="006D1EC7" w:rsidP="006D1EC7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predlaže Upravnom odboru Pravilnik o radu Centra, </w:t>
      </w:r>
    </w:p>
    <w:p w:rsidR="006D1EC7" w:rsidRPr="006D1EC7" w:rsidRDefault="006D1EC7" w:rsidP="006D1EC7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predlaže Upravnom odboru Pravilnik o radu regionalnih kancelarija, </w:t>
      </w:r>
    </w:p>
    <w:p w:rsidR="006D1EC7" w:rsidRPr="006D1EC7" w:rsidRDefault="006D1EC7" w:rsidP="006D1EC7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donosi odluku o promjeni adrese sjedišta Centra</w:t>
      </w:r>
    </w:p>
    <w:p w:rsidR="006D1EC7" w:rsidRPr="006D1EC7" w:rsidRDefault="006D1EC7" w:rsidP="006D1EC7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lastRenderedPageBreak/>
        <w:t xml:space="preserve">vrši i druge poslove, u skladu sa ovim statutom. 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Prava, obaveze i odlučivanje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47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 svom radu Izvršni odbor odgovoran je Upravnom odboru.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Članovi/ice Izvršnog odbora ravnopravno predstavljaju, unapređuju rad Centra u zemlji i inostranstvu.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48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Sastanci Izvršnog odbora odvijaju se prema potrebi, uz pravo svakog člana/ice Izvršnog odbora da sazove sastanak.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Izvršni odbor redovno sarađuje sa Upravnim odborom, kao i zaposlenima u Centru, uvažavajudi njihova mišljenja i ideje.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Izvršni odbor odluke donosi prostom većinom svih članova/ica.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 slučaju jednake podjele broja glasova prilikom donošenja odluke, tzv. podijeljenog glasanja, odlučujući je glas Predsjednika Izvršnog odbora. U ovom slučaju Predsjednik Izvršnog odbora je dužan uputiti Upravnom odboru obrazloženje o razlozima glasanja za konkretnu odluku.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Prestanak mandata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49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Članu/ici Izvršnog odbora može prestati mandat prije isteka vremena na koje je imenovan/a:</w:t>
      </w:r>
    </w:p>
    <w:p w:rsidR="006D1EC7" w:rsidRPr="006D1EC7" w:rsidRDefault="006D1EC7" w:rsidP="006D1EC7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na lični zahtjev, </w:t>
      </w:r>
    </w:p>
    <w:p w:rsidR="006D1EC7" w:rsidRPr="006D1EC7" w:rsidRDefault="006D1EC7" w:rsidP="006D1EC7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opozivom. 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50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lastRenderedPageBreak/>
        <w:t>Do opoziva člana/ice Izvršnog odbora može dodi zbog:</w:t>
      </w:r>
    </w:p>
    <w:p w:rsidR="006D1EC7" w:rsidRPr="006D1EC7" w:rsidRDefault="006D1EC7" w:rsidP="006D1EC7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težih povreda odredaba Statuta i Pravilnika o radu, </w:t>
      </w:r>
    </w:p>
    <w:p w:rsidR="006D1EC7" w:rsidRPr="006D1EC7" w:rsidRDefault="006D1EC7" w:rsidP="006D1EC7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zloupotrebe položaja i nanošenja štete ugledu Centra, </w:t>
      </w:r>
    </w:p>
    <w:p w:rsidR="006D1EC7" w:rsidRPr="006D1EC7" w:rsidRDefault="006D1EC7" w:rsidP="006D1EC7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nesavjesnog i neodgovornog obavljanja svoje dužnosti, </w:t>
      </w:r>
    </w:p>
    <w:p w:rsidR="006D1EC7" w:rsidRPr="006D1EC7" w:rsidRDefault="006D1EC7" w:rsidP="006D1EC7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 slučaju neobavljanja dužnosti duže od tri mjeseca.</w:t>
      </w:r>
    </w:p>
    <w:p w:rsidR="006D1EC7" w:rsidRPr="006D1EC7" w:rsidRDefault="006D1EC7" w:rsidP="006D1EC7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 slučaju sukoba interesa.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Člana/icu Izvršnog odbora opoziva Upravni odbor. 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51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 slučaju prestanka mandata članu/ici Izvršnog odbora, sprovodi se postupak imenovanja novog člana/ice Izvršnog odbora za preostali dio mandata.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  <w:u w:val="single"/>
        </w:rPr>
      </w:pPr>
      <w:r w:rsidRPr="006D1EC7">
        <w:rPr>
          <w:rFonts w:ascii="Calibri" w:hAnsi="Calibri" w:cs="Calibri"/>
          <w:b/>
          <w:u w:val="single"/>
        </w:rPr>
        <w:t>VII  IMOVINA CENTRA I PRIVREDNA DJELATNOST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Imovina Centra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52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Centar stiče imovinu od članarine, donacija, dobrovoljnih priloga, finansijskih subvencija, ostavnine, kamata na uloge, dividendi, zakupnine, pružanja usluga i na drugi zakonom dozvoljen način.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Centar odgovara za svoje obaveze cijelom svojom imovinom.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 slučaju prestanka postojanja Centra nastupanjem zakonom predviđenih razloga za prestanak, imovina Centra pripada nevladinoj organizaciji sa sličnim ciljevima, a odluku o tome donosi Skupština.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Privredna djelatnost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53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Centar obavlja privrednu aktivnost iz oblasti svoga djelovanja saglasno posebnim propisima koji uređuju obavljanje te vrste djelatnosti.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bookmarkStart w:id="0" w:name="_GoBack"/>
      <w:bookmarkEnd w:id="0"/>
      <w:r w:rsidRPr="006D1EC7">
        <w:rPr>
          <w:rFonts w:ascii="Calibri" w:hAnsi="Calibri" w:cs="Calibri"/>
        </w:rPr>
        <w:lastRenderedPageBreak/>
        <w:t>Dobit koju Centar ostvari obavljanjem privredne aktivnosti može se koristiti isključivo za ostvarenje ciljeva Centra i na teritoriji Crne Gore.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  <w:u w:val="single"/>
        </w:rPr>
      </w:pPr>
      <w:r w:rsidRPr="006D1EC7">
        <w:rPr>
          <w:rFonts w:ascii="Calibri" w:hAnsi="Calibri" w:cs="Calibri"/>
          <w:b/>
          <w:u w:val="single"/>
        </w:rPr>
        <w:t>VIII  SUKOB INTERESA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54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Članov/ice organa upravljanja i zaposleni u Centru dužni su voditi računa o mogudem sukobu interesa. U slučaju mogudeg sukoba interesa, dužni su isti prijaviti i izuzeti se od donošenja odluke ili zatražiti mišljenje Upravnog odbora.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Upravni odbor rješava pritužbe i daje mišljenja u vezi sukoba interesa članova/ica tijela upravljanja i zaposlenih u Centru.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  <w:u w:val="single"/>
        </w:rPr>
      </w:pPr>
      <w:r w:rsidRPr="006D1EC7">
        <w:rPr>
          <w:rFonts w:ascii="Calibri" w:hAnsi="Calibri" w:cs="Calibri"/>
          <w:b/>
          <w:u w:val="single"/>
        </w:rPr>
        <w:t>IX  ZAVRŠNE ODREDBE</w:t>
      </w: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55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 xml:space="preserve">Inicijativu za izmjenu i dopunu Statuta može pokrenuti najmanje 1/3 članova/ica. 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Inicijativa za izmjenu i dopunu Statuta dostavlja se u pismenom obliku Upravnom odboru koji je inicijativu dužan uvrstiti na dnevni red za prvu redovnu sjednicu Skupštine.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Predlog za izmjenu i dopunu Statuta mora sadržavati tačnu formulaciju članova Statuta koji se mijenjaju i obrazloženje izmjene i dopune Statuta.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56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Ovaj statut stupa na snagu danom usvajanja na Skupštini.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6D1EC7" w:rsidRPr="006D1EC7" w:rsidRDefault="006D1EC7" w:rsidP="006D1EC7">
      <w:pPr>
        <w:spacing w:after="0"/>
        <w:jc w:val="center"/>
        <w:rPr>
          <w:rFonts w:ascii="Calibri" w:hAnsi="Calibri" w:cs="Calibri"/>
          <w:b/>
        </w:rPr>
      </w:pPr>
      <w:r w:rsidRPr="006D1EC7">
        <w:rPr>
          <w:rFonts w:ascii="Calibri" w:hAnsi="Calibri" w:cs="Calibri"/>
          <w:b/>
        </w:rPr>
        <w:t>Član 57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  <w:r w:rsidRPr="006D1EC7">
        <w:rPr>
          <w:rFonts w:ascii="Calibri" w:hAnsi="Calibri" w:cs="Calibri"/>
        </w:rPr>
        <w:t>Stupanjem  na  snagu  ovog  Statuta  prestaje  važenje  Statuta  usvojenog  na  Skupštini  održanoj 10.08.2000. godine.</w:t>
      </w:r>
    </w:p>
    <w:p w:rsidR="006D1EC7" w:rsidRPr="006D1EC7" w:rsidRDefault="006D1EC7" w:rsidP="006D1EC7">
      <w:pPr>
        <w:spacing w:after="0"/>
        <w:jc w:val="both"/>
        <w:rPr>
          <w:rFonts w:ascii="Calibri" w:hAnsi="Calibri" w:cs="Calibri"/>
        </w:rPr>
      </w:pPr>
    </w:p>
    <w:p w:rsidR="00D94CAA" w:rsidRPr="006D1EC7" w:rsidRDefault="00D94CAA" w:rsidP="009840EC">
      <w:pPr>
        <w:jc w:val="both"/>
        <w:rPr>
          <w:rFonts w:ascii="Calibri" w:hAnsi="Calibri" w:cs="Calibri"/>
          <w:sz w:val="24"/>
          <w:lang w:val="sr-Latn-RS"/>
        </w:rPr>
      </w:pPr>
    </w:p>
    <w:p w:rsidR="00C77F52" w:rsidRPr="006D1EC7" w:rsidRDefault="00C77F52" w:rsidP="00C77F52">
      <w:pPr>
        <w:pStyle w:val="Normalny"/>
        <w:spacing w:before="100" w:after="100"/>
        <w:jc w:val="both"/>
        <w:rPr>
          <w:rFonts w:eastAsia="Times New Roman"/>
          <w:sz w:val="24"/>
          <w:szCs w:val="24"/>
          <w:lang w:val="en-GB" w:eastAsia="pl-PL"/>
        </w:rPr>
      </w:pPr>
    </w:p>
    <w:p w:rsidR="00C77F52" w:rsidRPr="006D1EC7" w:rsidRDefault="00C77F52" w:rsidP="00C77F52">
      <w:pPr>
        <w:pStyle w:val="Normalny"/>
        <w:jc w:val="both"/>
        <w:rPr>
          <w:sz w:val="24"/>
          <w:szCs w:val="24"/>
          <w:lang w:val="en-GB"/>
        </w:rPr>
      </w:pPr>
      <w:r w:rsidRPr="006D1EC7">
        <w:rPr>
          <w:sz w:val="24"/>
          <w:szCs w:val="24"/>
          <w:lang w:val="en-GB"/>
        </w:rPr>
        <w:t xml:space="preserve"> </w:t>
      </w:r>
    </w:p>
    <w:p w:rsidR="00C77F52" w:rsidRPr="006D1EC7" w:rsidRDefault="00C77F52" w:rsidP="00C77F52">
      <w:pPr>
        <w:pStyle w:val="Normalny"/>
        <w:spacing w:line="276" w:lineRule="auto"/>
        <w:rPr>
          <w:sz w:val="24"/>
          <w:szCs w:val="24"/>
          <w:lang w:val="en-GB"/>
        </w:rPr>
      </w:pPr>
    </w:p>
    <w:p w:rsidR="00D94CAA" w:rsidRPr="006D1EC7" w:rsidRDefault="00D94CAA" w:rsidP="009840EC">
      <w:pPr>
        <w:jc w:val="both"/>
        <w:rPr>
          <w:rFonts w:ascii="Calibri" w:hAnsi="Calibri" w:cs="Calibri"/>
          <w:sz w:val="24"/>
          <w:szCs w:val="24"/>
          <w:lang w:val="sr-Latn-RS"/>
        </w:rPr>
      </w:pPr>
    </w:p>
    <w:p w:rsidR="00D94CAA" w:rsidRPr="006D1EC7" w:rsidRDefault="00D94CAA" w:rsidP="009840EC">
      <w:pPr>
        <w:jc w:val="both"/>
        <w:rPr>
          <w:rFonts w:ascii="Calibri" w:hAnsi="Calibri" w:cs="Calibri"/>
          <w:sz w:val="24"/>
          <w:szCs w:val="24"/>
          <w:lang w:val="sr-Latn-RS"/>
        </w:rPr>
      </w:pPr>
    </w:p>
    <w:p w:rsidR="00D94CAA" w:rsidRPr="006D1EC7" w:rsidRDefault="00D94CAA" w:rsidP="009840EC">
      <w:pPr>
        <w:jc w:val="both"/>
        <w:rPr>
          <w:rFonts w:ascii="Calibri" w:hAnsi="Calibri" w:cs="Calibri"/>
          <w:sz w:val="24"/>
          <w:szCs w:val="24"/>
          <w:lang w:val="sr-Latn-RS"/>
        </w:rPr>
      </w:pPr>
    </w:p>
    <w:p w:rsidR="00D94CAA" w:rsidRPr="006D1EC7" w:rsidRDefault="00D94CAA" w:rsidP="009840EC">
      <w:pPr>
        <w:jc w:val="both"/>
        <w:rPr>
          <w:rFonts w:ascii="Calibri" w:hAnsi="Calibri" w:cs="Calibri"/>
          <w:sz w:val="24"/>
          <w:szCs w:val="24"/>
          <w:lang w:val="sr-Latn-RS"/>
        </w:rPr>
      </w:pPr>
    </w:p>
    <w:p w:rsidR="00D94CAA" w:rsidRPr="006D1EC7" w:rsidRDefault="00D94CAA" w:rsidP="00C77F52">
      <w:pPr>
        <w:pStyle w:val="NoSpacing"/>
        <w:rPr>
          <w:rFonts w:ascii="Calibri" w:hAnsi="Calibri" w:cs="Calibri"/>
          <w:sz w:val="24"/>
          <w:szCs w:val="24"/>
          <w:lang w:val="sr-Latn-RS"/>
        </w:rPr>
      </w:pPr>
    </w:p>
    <w:p w:rsidR="00C77F52" w:rsidRPr="006D1EC7" w:rsidRDefault="00C77F52" w:rsidP="00C77F52">
      <w:pPr>
        <w:pStyle w:val="NoSpacing"/>
        <w:rPr>
          <w:rFonts w:ascii="Calibri" w:hAnsi="Calibri" w:cs="Calibri"/>
          <w:sz w:val="24"/>
          <w:szCs w:val="24"/>
          <w:lang w:val="sr-Latn-RS"/>
        </w:rPr>
      </w:pPr>
    </w:p>
    <w:p w:rsidR="00C77F52" w:rsidRPr="006D1EC7" w:rsidRDefault="00C77F52" w:rsidP="00C77F52">
      <w:pPr>
        <w:pStyle w:val="NoSpacing"/>
        <w:rPr>
          <w:rFonts w:ascii="Calibri" w:hAnsi="Calibri" w:cs="Calibri"/>
          <w:sz w:val="24"/>
          <w:szCs w:val="24"/>
          <w:lang w:val="sr-Latn-RS"/>
        </w:rPr>
      </w:pPr>
    </w:p>
    <w:p w:rsidR="00C77F52" w:rsidRPr="006D1EC7" w:rsidRDefault="00C77F52" w:rsidP="00C77F52">
      <w:pPr>
        <w:pStyle w:val="NoSpacing"/>
        <w:rPr>
          <w:rFonts w:ascii="Calibri" w:hAnsi="Calibri" w:cs="Calibri"/>
          <w:sz w:val="24"/>
          <w:szCs w:val="24"/>
          <w:lang w:val="sr-Latn-RS"/>
        </w:rPr>
      </w:pPr>
    </w:p>
    <w:p w:rsidR="00C77F52" w:rsidRPr="006D1EC7" w:rsidRDefault="00C77F52" w:rsidP="00C77F52">
      <w:pPr>
        <w:pStyle w:val="NoSpacing"/>
        <w:rPr>
          <w:rFonts w:ascii="Calibri" w:hAnsi="Calibri" w:cs="Calibri"/>
          <w:sz w:val="24"/>
          <w:szCs w:val="24"/>
          <w:lang w:val="sr-Latn-RS"/>
        </w:rPr>
      </w:pPr>
    </w:p>
    <w:p w:rsidR="00C77F52" w:rsidRPr="006D1EC7" w:rsidRDefault="00C77F52" w:rsidP="00C77F52">
      <w:pPr>
        <w:pStyle w:val="NoSpacing"/>
        <w:rPr>
          <w:rFonts w:ascii="Calibri" w:hAnsi="Calibri" w:cs="Calibri"/>
          <w:sz w:val="24"/>
          <w:szCs w:val="24"/>
          <w:lang w:val="sr-Latn-RS"/>
        </w:rPr>
      </w:pPr>
    </w:p>
    <w:p w:rsidR="00C77F52" w:rsidRPr="006D1EC7" w:rsidRDefault="00C77F52" w:rsidP="00C77F52">
      <w:pPr>
        <w:pStyle w:val="NoSpacing"/>
        <w:rPr>
          <w:rFonts w:ascii="Calibri" w:hAnsi="Calibri" w:cs="Calibri"/>
          <w:sz w:val="24"/>
          <w:szCs w:val="24"/>
          <w:lang w:val="sr-Latn-RS"/>
        </w:rPr>
      </w:pPr>
    </w:p>
    <w:p w:rsidR="00C77F52" w:rsidRPr="006D1EC7" w:rsidRDefault="00C77F52" w:rsidP="00C77F52">
      <w:pPr>
        <w:pStyle w:val="NoSpacing"/>
        <w:rPr>
          <w:rFonts w:ascii="Calibri" w:hAnsi="Calibri" w:cs="Calibri"/>
          <w:sz w:val="24"/>
          <w:szCs w:val="24"/>
          <w:lang w:val="sr-Latn-RS"/>
        </w:rPr>
      </w:pPr>
    </w:p>
    <w:p w:rsidR="00C77F52" w:rsidRPr="006D1EC7" w:rsidRDefault="00C77F52" w:rsidP="00C77F52">
      <w:pPr>
        <w:pStyle w:val="NoSpacing"/>
        <w:rPr>
          <w:rFonts w:ascii="Calibri" w:hAnsi="Calibri" w:cs="Calibri"/>
          <w:sz w:val="24"/>
          <w:szCs w:val="24"/>
          <w:lang w:val="sr-Latn-RS"/>
        </w:rPr>
      </w:pPr>
    </w:p>
    <w:p w:rsidR="00C77F52" w:rsidRPr="006D1EC7" w:rsidRDefault="00C77F52" w:rsidP="00C77F52">
      <w:pPr>
        <w:pStyle w:val="NoSpacing"/>
        <w:rPr>
          <w:rFonts w:ascii="Calibri" w:hAnsi="Calibri" w:cs="Calibri"/>
          <w:sz w:val="24"/>
          <w:szCs w:val="24"/>
          <w:lang w:val="sr-Latn-RS"/>
        </w:rPr>
      </w:pPr>
    </w:p>
    <w:p w:rsidR="00C77F52" w:rsidRPr="006D1EC7" w:rsidRDefault="00C77F52" w:rsidP="00C77F52">
      <w:pPr>
        <w:pStyle w:val="NoSpacing"/>
        <w:rPr>
          <w:rFonts w:ascii="Calibri" w:hAnsi="Calibri" w:cs="Calibri"/>
          <w:sz w:val="24"/>
          <w:szCs w:val="24"/>
          <w:lang w:val="sr-Latn-RS"/>
        </w:rPr>
      </w:pPr>
    </w:p>
    <w:p w:rsidR="00C77F52" w:rsidRPr="006D1EC7" w:rsidRDefault="00C77F52" w:rsidP="00C77F52">
      <w:pPr>
        <w:pStyle w:val="NoSpacing"/>
        <w:rPr>
          <w:rFonts w:ascii="Calibri" w:hAnsi="Calibri" w:cs="Calibri"/>
          <w:sz w:val="24"/>
          <w:szCs w:val="24"/>
          <w:lang w:val="sr-Latn-RS"/>
        </w:rPr>
      </w:pPr>
    </w:p>
    <w:p w:rsidR="00712140" w:rsidRPr="006D1EC7" w:rsidRDefault="00712140" w:rsidP="009840EC">
      <w:pPr>
        <w:jc w:val="both"/>
        <w:rPr>
          <w:rFonts w:ascii="Calibri" w:hAnsi="Calibri" w:cs="Calibri"/>
          <w:sz w:val="24"/>
        </w:rPr>
      </w:pPr>
    </w:p>
    <w:sectPr w:rsidR="00712140" w:rsidRPr="006D1EC7" w:rsidSect="00083DD9">
      <w:headerReference w:type="first" r:id="rId8"/>
      <w:footerReference w:type="first" r:id="rId9"/>
      <w:pgSz w:w="12240" w:h="15840"/>
      <w:pgMar w:top="900" w:right="1440" w:bottom="1440" w:left="1350" w:header="360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A4" w:rsidRDefault="00AD7FA4" w:rsidP="0058108B">
      <w:pPr>
        <w:spacing w:after="0" w:line="240" w:lineRule="auto"/>
      </w:pPr>
      <w:r>
        <w:separator/>
      </w:r>
    </w:p>
  </w:endnote>
  <w:endnote w:type="continuationSeparator" w:id="0">
    <w:p w:rsidR="00AD7FA4" w:rsidRDefault="00AD7FA4" w:rsidP="0058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D9" w:rsidRPr="00312BE5" w:rsidRDefault="00083DD9" w:rsidP="00083DD9">
    <w:pPr>
      <w:pStyle w:val="Footer"/>
      <w:jc w:val="cen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noProof/>
        <w:sz w:val="16"/>
        <w:szCs w:val="16"/>
      </w:rPr>
      <w:drawing>
        <wp:inline distT="0" distB="0" distL="0" distR="0" wp14:anchorId="7AF0B396" wp14:editId="7F267A0C">
          <wp:extent cx="5236918" cy="30483"/>
          <wp:effectExtent l="0" t="0" r="1905" b="762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DD9" w:rsidRPr="00312BE5" w:rsidRDefault="00083DD9" w:rsidP="00083DD9">
    <w:pPr>
      <w:pStyle w:val="Foo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sz w:val="16"/>
        <w:szCs w:val="16"/>
      </w:rPr>
      <w:t xml:space="preserve">  </w:t>
    </w:r>
  </w:p>
  <w:p w:rsidR="00083DD9" w:rsidRPr="00312BE5" w:rsidRDefault="00C77F52" w:rsidP="00083DD9">
    <w:pPr>
      <w:pStyle w:val="Footer"/>
      <w:jc w:val="center"/>
      <w:rPr>
        <w:rFonts w:ascii="Arial" w:hAnsi="Arial" w:cs="Arial"/>
        <w:sz w:val="16"/>
        <w:szCs w:val="16"/>
      </w:rPr>
    </w:pPr>
    <w:r w:rsidRPr="00BC3AAC">
      <w:rPr>
        <w:rFonts w:ascii="Arial" w:hAnsi="Arial" w:cs="Arial"/>
        <w:b/>
        <w:color w:val="850C4B" w:themeColor="accent1" w:themeShade="BF"/>
        <w:sz w:val="16"/>
        <w:szCs w:val="16"/>
      </w:rPr>
      <w:t>Tel</w:t>
    </w:r>
    <w:r>
      <w:rPr>
        <w:rFonts w:ascii="Arial" w:hAnsi="Arial" w:cs="Arial"/>
        <w:sz w:val="16"/>
        <w:szCs w:val="16"/>
      </w:rPr>
      <w:t>: +382</w:t>
    </w:r>
    <w:r w:rsidR="00BC3AA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</w:t>
    </w:r>
    <w:r w:rsidR="00BC3AA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331</w:t>
    </w:r>
    <w:r w:rsidR="00BC3AA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227</w:t>
    </w:r>
    <w:r w:rsidR="00BC3AAC">
      <w:rPr>
        <w:rFonts w:ascii="Arial" w:hAnsi="Arial" w:cs="Arial"/>
        <w:sz w:val="16"/>
        <w:szCs w:val="16"/>
      </w:rPr>
      <w:t>; +382 20 334 512</w:t>
    </w:r>
    <w:r w:rsidR="00083DD9" w:rsidRPr="00312BE5">
      <w:rPr>
        <w:rFonts w:ascii="Arial" w:hAnsi="Arial" w:cs="Arial"/>
        <w:sz w:val="16"/>
        <w:szCs w:val="16"/>
      </w:rPr>
      <w:br/>
      <w:t xml:space="preserve"> </w:t>
    </w:r>
    <w:r w:rsidR="00083DD9" w:rsidRPr="00312BE5">
      <w:rPr>
        <w:rFonts w:ascii="Arial" w:hAnsi="Arial" w:cs="Arial"/>
        <w:b/>
        <w:color w:val="7E1232" w:themeColor="accent2" w:themeShade="80"/>
        <w:sz w:val="16"/>
        <w:szCs w:val="16"/>
      </w:rPr>
      <w:t>Email:</w:t>
    </w:r>
    <w:r w:rsidR="00083DD9"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="00BC3AAC">
      <w:rPr>
        <w:rFonts w:ascii="Arial" w:hAnsi="Arial" w:cs="Arial"/>
        <w:sz w:val="16"/>
        <w:szCs w:val="16"/>
      </w:rPr>
      <w:t xml:space="preserve">cdtmn@t-com.me </w:t>
    </w:r>
    <w:r w:rsidR="00083DD9" w:rsidRPr="00312BE5">
      <w:rPr>
        <w:rFonts w:ascii="Arial" w:hAnsi="Arial" w:cs="Arial"/>
        <w:b/>
        <w:color w:val="7E1232" w:themeColor="accent2" w:themeShade="80"/>
        <w:sz w:val="16"/>
        <w:szCs w:val="16"/>
      </w:rPr>
      <w:t>Website:</w:t>
    </w:r>
    <w:r w:rsidR="00083DD9"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="00083DD9" w:rsidRPr="00312BE5">
      <w:rPr>
        <w:rFonts w:ascii="Arial" w:hAnsi="Arial" w:cs="Arial"/>
        <w:sz w:val="16"/>
        <w:szCs w:val="16"/>
      </w:rPr>
      <w:t xml:space="preserve">www.cdtmn.org  </w:t>
    </w:r>
    <w:r w:rsidR="00083DD9" w:rsidRPr="00312BE5">
      <w:rPr>
        <w:rFonts w:ascii="Arial" w:hAnsi="Arial" w:cs="Arial"/>
        <w:b/>
        <w:color w:val="7E1232" w:themeColor="accent2" w:themeShade="80"/>
        <w:sz w:val="16"/>
        <w:szCs w:val="16"/>
      </w:rPr>
      <w:t>Adresa:</w:t>
    </w:r>
    <w:r w:rsidR="00083DD9"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="00813C49">
      <w:rPr>
        <w:rFonts w:ascii="Arial" w:hAnsi="Arial" w:cs="Arial"/>
        <w:sz w:val="16"/>
        <w:szCs w:val="16"/>
      </w:rPr>
      <w:t>Moskovska 153</w:t>
    </w:r>
    <w:r w:rsidR="00083DD9" w:rsidRPr="00312BE5">
      <w:rPr>
        <w:rFonts w:ascii="Arial" w:hAnsi="Arial" w:cs="Arial"/>
        <w:sz w:val="16"/>
        <w:szCs w:val="16"/>
      </w:rPr>
      <w:t>, 81000 P</w:t>
    </w:r>
    <w:r w:rsidR="009840EC">
      <w:rPr>
        <w:rFonts w:ascii="Arial" w:hAnsi="Arial" w:cs="Arial"/>
        <w:sz w:val="16"/>
        <w:szCs w:val="16"/>
      </w:rPr>
      <w:t>odgorica, Crna Gora</w:t>
    </w:r>
    <w:r w:rsidR="00BC3AAC">
      <w:rPr>
        <w:rFonts w:ascii="Arial" w:hAnsi="Arial" w:cs="Arial"/>
        <w:sz w:val="16"/>
        <w:szCs w:val="16"/>
      </w:rPr>
      <w:t>/Montenegro</w:t>
    </w:r>
  </w:p>
  <w:p w:rsidR="00083DD9" w:rsidRDefault="00083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A4" w:rsidRDefault="00AD7FA4" w:rsidP="0058108B">
      <w:pPr>
        <w:spacing w:after="0" w:line="240" w:lineRule="auto"/>
      </w:pPr>
      <w:r>
        <w:separator/>
      </w:r>
    </w:p>
  </w:footnote>
  <w:footnote w:type="continuationSeparator" w:id="0">
    <w:p w:rsidR="00AD7FA4" w:rsidRDefault="00AD7FA4" w:rsidP="0058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5FD1148" wp14:editId="488CD916">
          <wp:simplePos x="0" y="0"/>
          <wp:positionH relativeFrom="column">
            <wp:posOffset>-365277</wp:posOffset>
          </wp:positionH>
          <wp:positionV relativeFrom="paragraph">
            <wp:posOffset>94586</wp:posOffset>
          </wp:positionV>
          <wp:extent cx="1314450" cy="648970"/>
          <wp:effectExtent l="0" t="0" r="0" b="0"/>
          <wp:wrapTight wrapText="bothSides">
            <wp:wrapPolygon edited="0">
              <wp:start x="2191" y="0"/>
              <wp:lineTo x="0" y="4438"/>
              <wp:lineTo x="0" y="17753"/>
              <wp:lineTo x="6261" y="20290"/>
              <wp:lineTo x="6887" y="20924"/>
              <wp:lineTo x="19409" y="20924"/>
              <wp:lineTo x="19409" y="20290"/>
              <wp:lineTo x="21287" y="17119"/>
              <wp:lineTo x="21287" y="12681"/>
              <wp:lineTo x="19409" y="8243"/>
              <wp:lineTo x="6887" y="0"/>
              <wp:lineTo x="2191" y="0"/>
            </wp:wrapPolygon>
          </wp:wrapTight>
          <wp:docPr id="25" name="Picture 25" descr="C:\Users\Damir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mir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2BE5">
      <w:rPr>
        <w:rFonts w:ascii="Arial" w:hAnsi="Arial" w:cs="Arial"/>
        <w:sz w:val="18"/>
        <w:szCs w:val="18"/>
      </w:rPr>
      <w:t xml:space="preserve">  </w:t>
    </w:r>
  </w:p>
  <w:p w:rsidR="00083DD9" w:rsidRDefault="00083DD9" w:rsidP="00083DD9">
    <w:pPr>
      <w:pStyle w:val="Header"/>
      <w:tabs>
        <w:tab w:val="clear" w:pos="4680"/>
        <w:tab w:val="clear" w:pos="9360"/>
        <w:tab w:val="left" w:pos="2053"/>
      </w:tabs>
      <w:ind w:left="-99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tbl>
    <w:tblPr>
      <w:tblStyle w:val="TableGrid"/>
      <w:tblW w:w="11600" w:type="dxa"/>
      <w:tblInd w:w="-1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0"/>
      <w:gridCol w:w="1440"/>
      <w:gridCol w:w="2970"/>
      <w:gridCol w:w="270"/>
      <w:gridCol w:w="1530"/>
      <w:gridCol w:w="2795"/>
      <w:gridCol w:w="270"/>
      <w:gridCol w:w="1260"/>
      <w:gridCol w:w="795"/>
    </w:tblGrid>
    <w:tr w:rsidR="00083DD9" w:rsidRPr="00312BE5" w:rsidTr="003C3E9A">
      <w:trPr>
        <w:trHeight w:val="259"/>
      </w:trPr>
      <w:tc>
        <w:tcPr>
          <w:tcW w:w="270" w:type="dxa"/>
          <w:vMerge w:val="restart"/>
        </w:tcPr>
        <w:p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sz w:val="18"/>
              <w:szCs w:val="18"/>
            </w:rPr>
          </w:pPr>
          <w:r w:rsidRPr="00312BE5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E710A57" wp14:editId="31A69448">
                <wp:extent cx="60960" cy="276726"/>
                <wp:effectExtent l="0" t="0" r="0" b="952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Djelovodni broj: </w:t>
          </w:r>
        </w:p>
      </w:tc>
      <w:tc>
        <w:tcPr>
          <w:tcW w:w="2970" w:type="dxa"/>
          <w:tcBorders>
            <w:bottom w:val="single" w:sz="4" w:space="0" w:color="auto"/>
          </w:tcBorders>
        </w:tcPr>
        <w:p w:rsidR="00083DD9" w:rsidRPr="003D068D" w:rsidRDefault="00FD4D51" w:rsidP="00786D99">
          <w:pPr>
            <w:pStyle w:val="Header"/>
            <w:tabs>
              <w:tab w:val="left" w:pos="2940"/>
            </w:tabs>
            <w:spacing w:before="240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012-03/18</w:t>
          </w:r>
        </w:p>
      </w:tc>
      <w:tc>
        <w:tcPr>
          <w:tcW w:w="270" w:type="dxa"/>
          <w:vMerge w:val="restart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sz w:val="16"/>
              <w:szCs w:val="16"/>
            </w:rPr>
          </w:pPr>
          <w:r w:rsidRPr="003D068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E935E7A" wp14:editId="569C63BB">
                <wp:extent cx="60960" cy="276726"/>
                <wp:effectExtent l="0" t="0" r="0" b="9525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Mjesto i datum:</w:t>
          </w:r>
        </w:p>
      </w:tc>
      <w:tc>
        <w:tcPr>
          <w:tcW w:w="2795" w:type="dxa"/>
          <w:tcBorders>
            <w:bottom w:val="single" w:sz="4" w:space="0" w:color="auto"/>
          </w:tcBorders>
        </w:tcPr>
        <w:p w:rsidR="00083DD9" w:rsidRPr="003D068D" w:rsidRDefault="00FD4D51" w:rsidP="00786D9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Podgorica, 12.03.2018.</w:t>
          </w:r>
        </w:p>
      </w:tc>
      <w:tc>
        <w:tcPr>
          <w:tcW w:w="270" w:type="dxa"/>
          <w:vMerge w:val="restart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color w:val="7D3374"/>
              <w:sz w:val="16"/>
              <w:szCs w:val="16"/>
            </w:rPr>
          </w:pPr>
          <w:r w:rsidRPr="003D068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48AAEEF9" wp14:editId="609EB1D4">
                <wp:extent cx="60960" cy="276726"/>
                <wp:effectExtent l="0" t="0" r="0" b="952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Broj stranica:</w:t>
          </w:r>
        </w:p>
      </w:tc>
      <w:tc>
        <w:tcPr>
          <w:tcW w:w="795" w:type="dxa"/>
          <w:tcBorders>
            <w:bottom w:val="single" w:sz="4" w:space="0" w:color="auto"/>
          </w:tcBorders>
        </w:tcPr>
        <w:p w:rsidR="00083DD9" w:rsidRPr="003D068D" w:rsidRDefault="00FD4D51" w:rsidP="0032028E">
          <w:pPr>
            <w:pStyle w:val="Header"/>
            <w:tabs>
              <w:tab w:val="left" w:pos="2940"/>
            </w:tabs>
            <w:spacing w:before="240"/>
            <w:jc w:val="center"/>
            <w:rPr>
              <w:rFonts w:ascii="Arial" w:hAnsi="Arial" w:cs="Arial"/>
              <w:color w:val="7D3374"/>
              <w:sz w:val="16"/>
              <w:szCs w:val="16"/>
            </w:rPr>
          </w:pPr>
          <w:r>
            <w:rPr>
              <w:rFonts w:ascii="Arial" w:hAnsi="Arial" w:cs="Arial"/>
              <w:color w:val="7D3374"/>
              <w:sz w:val="16"/>
              <w:szCs w:val="16"/>
            </w:rPr>
            <w:t>11</w:t>
          </w:r>
        </w:p>
      </w:tc>
    </w:tr>
    <w:tr w:rsidR="00083DD9" w:rsidRPr="00312BE5" w:rsidTr="003C3E9A">
      <w:trPr>
        <w:trHeight w:val="70"/>
      </w:trPr>
      <w:tc>
        <w:tcPr>
          <w:tcW w:w="270" w:type="dxa"/>
          <w:vMerge/>
        </w:tcPr>
        <w:p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4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 xml:space="preserve">        Registry No</w:t>
          </w:r>
        </w:p>
      </w:tc>
      <w:tc>
        <w:tcPr>
          <w:tcW w:w="2970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</w:p>
      </w:tc>
      <w:tc>
        <w:tcPr>
          <w:tcW w:w="270" w:type="dxa"/>
          <w:vMerge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30" w:type="dxa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 xml:space="preserve">  Place and date</w:t>
          </w:r>
        </w:p>
      </w:tc>
      <w:tc>
        <w:tcPr>
          <w:tcW w:w="2795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0" w:type="dxa"/>
          <w:vMerge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6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>No. of pages</w:t>
          </w:r>
        </w:p>
      </w:tc>
      <w:tc>
        <w:tcPr>
          <w:tcW w:w="795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jc w:val="center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</w:rPr>
      <w:drawing>
        <wp:inline distT="0" distB="0" distL="0" distR="0" wp14:anchorId="4318F705" wp14:editId="2FC94EF6">
          <wp:extent cx="5236918" cy="30483"/>
          <wp:effectExtent l="0" t="0" r="1905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DD9" w:rsidRDefault="00083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5BAF"/>
    <w:multiLevelType w:val="hybridMultilevel"/>
    <w:tmpl w:val="200CD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581C"/>
    <w:multiLevelType w:val="hybridMultilevel"/>
    <w:tmpl w:val="FA4E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C6E43"/>
    <w:multiLevelType w:val="hybridMultilevel"/>
    <w:tmpl w:val="8D30CE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947FC"/>
    <w:multiLevelType w:val="hybridMultilevel"/>
    <w:tmpl w:val="99049F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7E26"/>
    <w:multiLevelType w:val="hybridMultilevel"/>
    <w:tmpl w:val="A07890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30B"/>
    <w:multiLevelType w:val="hybridMultilevel"/>
    <w:tmpl w:val="58482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27E04"/>
    <w:multiLevelType w:val="hybridMultilevel"/>
    <w:tmpl w:val="4CB2A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64CC2"/>
    <w:multiLevelType w:val="hybridMultilevel"/>
    <w:tmpl w:val="E4B23D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824BC"/>
    <w:multiLevelType w:val="hybridMultilevel"/>
    <w:tmpl w:val="FAC03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C3DE6"/>
    <w:multiLevelType w:val="hybridMultilevel"/>
    <w:tmpl w:val="9F4229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A5233"/>
    <w:multiLevelType w:val="hybridMultilevel"/>
    <w:tmpl w:val="6276B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B3737"/>
    <w:multiLevelType w:val="hybridMultilevel"/>
    <w:tmpl w:val="1464C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061EB"/>
    <w:multiLevelType w:val="hybridMultilevel"/>
    <w:tmpl w:val="9B8A84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B1BD5"/>
    <w:multiLevelType w:val="multilevel"/>
    <w:tmpl w:val="F91ADB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75F7025"/>
    <w:multiLevelType w:val="hybridMultilevel"/>
    <w:tmpl w:val="00BA4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45559"/>
    <w:multiLevelType w:val="hybridMultilevel"/>
    <w:tmpl w:val="F02ECE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332F"/>
    <w:multiLevelType w:val="hybridMultilevel"/>
    <w:tmpl w:val="A0D0D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0"/>
  </w:num>
  <w:num w:numId="5">
    <w:abstractNumId w:val="12"/>
  </w:num>
  <w:num w:numId="6">
    <w:abstractNumId w:val="2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 w:numId="13">
    <w:abstractNumId w:val="0"/>
  </w:num>
  <w:num w:numId="14">
    <w:abstractNumId w:val="11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06"/>
    <w:rsid w:val="00016C52"/>
    <w:rsid w:val="00054DE4"/>
    <w:rsid w:val="000620BF"/>
    <w:rsid w:val="00083DD9"/>
    <w:rsid w:val="00087537"/>
    <w:rsid w:val="000F77B4"/>
    <w:rsid w:val="00120BF9"/>
    <w:rsid w:val="001366AC"/>
    <w:rsid w:val="00282082"/>
    <w:rsid w:val="00282ED2"/>
    <w:rsid w:val="00312BE5"/>
    <w:rsid w:val="0032028E"/>
    <w:rsid w:val="003758AC"/>
    <w:rsid w:val="003A6584"/>
    <w:rsid w:val="003B4B3A"/>
    <w:rsid w:val="003D068D"/>
    <w:rsid w:val="003D0912"/>
    <w:rsid w:val="003E61DF"/>
    <w:rsid w:val="00487899"/>
    <w:rsid w:val="00503A43"/>
    <w:rsid w:val="00523932"/>
    <w:rsid w:val="005359A8"/>
    <w:rsid w:val="005651D0"/>
    <w:rsid w:val="00571C0B"/>
    <w:rsid w:val="0058108B"/>
    <w:rsid w:val="005A2C08"/>
    <w:rsid w:val="005C4619"/>
    <w:rsid w:val="005F2F3F"/>
    <w:rsid w:val="006232D4"/>
    <w:rsid w:val="00643457"/>
    <w:rsid w:val="006619F5"/>
    <w:rsid w:val="006953E5"/>
    <w:rsid w:val="006B3856"/>
    <w:rsid w:val="006C56D5"/>
    <w:rsid w:val="006D1EC7"/>
    <w:rsid w:val="00712140"/>
    <w:rsid w:val="00716707"/>
    <w:rsid w:val="00730AC1"/>
    <w:rsid w:val="00747EB8"/>
    <w:rsid w:val="00770F48"/>
    <w:rsid w:val="007715A6"/>
    <w:rsid w:val="00786D99"/>
    <w:rsid w:val="00792C20"/>
    <w:rsid w:val="007B5C8A"/>
    <w:rsid w:val="007C6D2B"/>
    <w:rsid w:val="00813C49"/>
    <w:rsid w:val="00857E99"/>
    <w:rsid w:val="00884C10"/>
    <w:rsid w:val="008A6439"/>
    <w:rsid w:val="00902C5C"/>
    <w:rsid w:val="00904132"/>
    <w:rsid w:val="00925DB8"/>
    <w:rsid w:val="00947733"/>
    <w:rsid w:val="009840EC"/>
    <w:rsid w:val="009A4EAF"/>
    <w:rsid w:val="009D4A98"/>
    <w:rsid w:val="009E5769"/>
    <w:rsid w:val="009E6B11"/>
    <w:rsid w:val="009F0C37"/>
    <w:rsid w:val="00A44DAA"/>
    <w:rsid w:val="00AA65F2"/>
    <w:rsid w:val="00AD139A"/>
    <w:rsid w:val="00AD7FA4"/>
    <w:rsid w:val="00B15C5D"/>
    <w:rsid w:val="00B17E1F"/>
    <w:rsid w:val="00B409BD"/>
    <w:rsid w:val="00BB2B41"/>
    <w:rsid w:val="00BC3AAC"/>
    <w:rsid w:val="00BF30B7"/>
    <w:rsid w:val="00BF6ED8"/>
    <w:rsid w:val="00C5236A"/>
    <w:rsid w:val="00C5321E"/>
    <w:rsid w:val="00C56AA0"/>
    <w:rsid w:val="00C7456C"/>
    <w:rsid w:val="00C77F52"/>
    <w:rsid w:val="00CC0406"/>
    <w:rsid w:val="00CC1036"/>
    <w:rsid w:val="00CF596E"/>
    <w:rsid w:val="00D00C2F"/>
    <w:rsid w:val="00D057E6"/>
    <w:rsid w:val="00D7337E"/>
    <w:rsid w:val="00D779AE"/>
    <w:rsid w:val="00D83997"/>
    <w:rsid w:val="00D94CAA"/>
    <w:rsid w:val="00DF1E68"/>
    <w:rsid w:val="00E01F43"/>
    <w:rsid w:val="00E475AD"/>
    <w:rsid w:val="00E51C81"/>
    <w:rsid w:val="00E52452"/>
    <w:rsid w:val="00E929E7"/>
    <w:rsid w:val="00ED033C"/>
    <w:rsid w:val="00F35F3B"/>
    <w:rsid w:val="00F64CB5"/>
    <w:rsid w:val="00F8671C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96824F-21F7-425F-A2EA-456957B2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08B"/>
  </w:style>
  <w:style w:type="paragraph" w:styleId="Heading1">
    <w:name w:val="heading 1"/>
    <w:basedOn w:val="Normal"/>
    <w:next w:val="Normal"/>
    <w:link w:val="Heading1Char"/>
    <w:uiPriority w:val="9"/>
    <w:qFormat/>
    <w:rsid w:val="0058108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0186D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8B"/>
  </w:style>
  <w:style w:type="paragraph" w:styleId="Footer">
    <w:name w:val="footer"/>
    <w:basedOn w:val="Normal"/>
    <w:link w:val="Foot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8B"/>
  </w:style>
  <w:style w:type="character" w:customStyle="1" w:styleId="Heading1Char">
    <w:name w:val="Heading 1 Char"/>
    <w:basedOn w:val="DefaultParagraphFont"/>
    <w:link w:val="Heading1"/>
    <w:uiPriority w:val="9"/>
    <w:rsid w:val="0058108B"/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08B"/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08B"/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08B"/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08B"/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08B"/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08B"/>
    <w:rPr>
      <w:rFonts w:asciiTheme="majorHAnsi" w:eastAsiaTheme="majorEastAsia" w:hAnsiTheme="majorHAnsi" w:cstheme="majorBidi"/>
      <w:color w:val="5908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08B"/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08B"/>
    <w:rPr>
      <w:rFonts w:asciiTheme="majorHAnsi" w:eastAsiaTheme="majorEastAsia" w:hAnsiTheme="majorHAnsi" w:cstheme="majorBidi"/>
      <w:color w:val="70186D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08B"/>
    <w:pPr>
      <w:spacing w:line="240" w:lineRule="auto"/>
    </w:pPr>
    <w:rPr>
      <w:b/>
      <w:bCs/>
      <w:smallCaps/>
      <w:color w:val="B3116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810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08B"/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0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8108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8108B"/>
    <w:rPr>
      <w:b/>
      <w:bCs/>
    </w:rPr>
  </w:style>
  <w:style w:type="character" w:styleId="Emphasis">
    <w:name w:val="Emphasis"/>
    <w:basedOn w:val="DefaultParagraphFont"/>
    <w:uiPriority w:val="20"/>
    <w:qFormat/>
    <w:rsid w:val="0058108B"/>
    <w:rPr>
      <w:i/>
      <w:iCs/>
    </w:rPr>
  </w:style>
  <w:style w:type="paragraph" w:styleId="NoSpacing">
    <w:name w:val="No Spacing"/>
    <w:uiPriority w:val="1"/>
    <w:qFormat/>
    <w:rsid w:val="005810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108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10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08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08B"/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108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108B"/>
    <w:rPr>
      <w:b w:val="0"/>
      <w:bCs w:val="0"/>
      <w:i/>
      <w:iCs/>
      <w:color w:val="B31166" w:themeColor="accent1"/>
    </w:rPr>
  </w:style>
  <w:style w:type="character" w:styleId="SubtleReference">
    <w:name w:val="Subtle Reference"/>
    <w:basedOn w:val="DefaultParagraphFont"/>
    <w:uiPriority w:val="31"/>
    <w:qFormat/>
    <w:rsid w:val="005810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108B"/>
    <w:rPr>
      <w:b/>
      <w:bCs/>
      <w:smallCaps/>
      <w:color w:val="B3116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0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08B"/>
    <w:pPr>
      <w:outlineLvl w:val="9"/>
    </w:pPr>
  </w:style>
  <w:style w:type="table" w:styleId="TableGrid">
    <w:name w:val="Table Grid"/>
    <w:basedOn w:val="TableNormal"/>
    <w:uiPriority w:val="39"/>
    <w:rsid w:val="0037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2BE5"/>
  </w:style>
  <w:style w:type="paragraph" w:styleId="ListParagraph">
    <w:name w:val="List Paragraph"/>
    <w:basedOn w:val="Normal"/>
    <w:uiPriority w:val="34"/>
    <w:qFormat/>
    <w:rsid w:val="00A44DAA"/>
    <w:pPr>
      <w:ind w:left="720"/>
      <w:contextualSpacing/>
    </w:pPr>
  </w:style>
  <w:style w:type="paragraph" w:customStyle="1" w:styleId="Normalny">
    <w:name w:val="Normalny"/>
    <w:rsid w:val="00C77F5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pl-PL"/>
    </w:rPr>
  </w:style>
  <w:style w:type="character" w:customStyle="1" w:styleId="Domylnaczcionkaakapitu">
    <w:name w:val="Domyślna czcionka akapitu"/>
    <w:rsid w:val="00C77F52"/>
  </w:style>
  <w:style w:type="character" w:customStyle="1" w:styleId="Pogrubienie">
    <w:name w:val="Pogrubienie"/>
    <w:basedOn w:val="Domylnaczcionkaakapitu"/>
    <w:rsid w:val="00C77F52"/>
    <w:rPr>
      <w:b/>
      <w:bCs/>
    </w:rPr>
  </w:style>
  <w:style w:type="paragraph" w:customStyle="1" w:styleId="Akapitzlist">
    <w:name w:val="Akapit z listą"/>
    <w:basedOn w:val="Normalny"/>
    <w:rsid w:val="00C77F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BF1F-DE2B-4C91-9F1F-B3169B95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Dautovic</dc:creator>
  <cp:lastModifiedBy>Damir Dautovic</cp:lastModifiedBy>
  <cp:revision>2</cp:revision>
  <cp:lastPrinted>2018-03-05T12:28:00Z</cp:lastPrinted>
  <dcterms:created xsi:type="dcterms:W3CDTF">2018-03-30T12:31:00Z</dcterms:created>
  <dcterms:modified xsi:type="dcterms:W3CDTF">2018-03-30T12:31:00Z</dcterms:modified>
</cp:coreProperties>
</file>